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AA870">
      <w:pPr>
        <w:spacing w:line="252" w:lineRule="auto"/>
        <w:jc w:val="center"/>
        <w:rPr>
          <w:rFonts w:hint="eastAsia" w:ascii="宋体" w:hAnsi="宋体" w:eastAsia="宋体" w:cs="宋体"/>
          <w:b/>
          <w:bCs/>
          <w:spacing w:val="7"/>
          <w:position w:val="3"/>
          <w:sz w:val="39"/>
          <w:szCs w:val="39"/>
          <w:lang w:eastAsia="zh-CN"/>
        </w:rPr>
      </w:pPr>
      <w:bookmarkStart w:id="0" w:name="_GoBack"/>
      <w:bookmarkEnd w:id="0"/>
      <w:r>
        <w:rPr>
          <w:rFonts w:hint="eastAsia" w:ascii="宋体" w:hAnsi="宋体" w:eastAsia="宋体" w:cs="宋体"/>
          <w:b/>
          <w:bCs/>
          <w:spacing w:val="7"/>
          <w:position w:val="3"/>
          <w:sz w:val="39"/>
          <w:szCs w:val="39"/>
          <w:lang w:eastAsia="zh-CN"/>
        </w:rPr>
        <w:t>法学院研究生奖助学金总评分计算细则</w:t>
      </w:r>
      <w:r>
        <w:rPr>
          <w:rFonts w:ascii="宋体" w:hAnsi="宋体" w:eastAsia="宋体" w:cs="宋体"/>
          <w:b/>
          <w:bCs/>
          <w:spacing w:val="7"/>
          <w:position w:val="3"/>
          <w:sz w:val="39"/>
          <w:szCs w:val="39"/>
          <w:lang w:eastAsia="zh-CN"/>
        </w:rPr>
        <w:t>（试行）</w:t>
      </w:r>
    </w:p>
    <w:p w14:paraId="7E1CCD37">
      <w:pPr>
        <w:pStyle w:val="2"/>
        <w:spacing w:before="250" w:line="364" w:lineRule="auto"/>
        <w:ind w:right="102" w:firstLine="652" w:firstLineChars="200"/>
        <w:rPr>
          <w:rFonts w:hint="eastAsia"/>
          <w:spacing w:val="8"/>
          <w:lang w:eastAsia="zh-CN"/>
        </w:rPr>
      </w:pPr>
      <w:r>
        <w:rPr>
          <w:rFonts w:hint="eastAsia"/>
          <w:spacing w:val="8"/>
          <w:lang w:eastAsia="zh-CN"/>
        </w:rPr>
        <w:t>研究生奖助学金申请首先须符合上海海事大学研究生奖助学金评审相关文件。</w:t>
      </w:r>
    </w:p>
    <w:p w14:paraId="31F9B2FD">
      <w:pPr>
        <w:spacing w:before="101" w:line="224" w:lineRule="auto"/>
        <w:ind w:firstLine="724" w:firstLineChars="200"/>
        <w:jc w:val="center"/>
        <w:rPr>
          <w:spacing w:val="8"/>
          <w:lang w:eastAsia="zh-CN"/>
        </w:rPr>
      </w:pPr>
      <w:r>
        <w:rPr>
          <w:rFonts w:ascii="黑体" w:hAnsi="黑体" w:eastAsia="黑体" w:cs="黑体"/>
          <w:spacing w:val="26"/>
          <w:sz w:val="31"/>
          <w:szCs w:val="31"/>
          <w:lang w:eastAsia="zh-CN"/>
        </w:rPr>
        <w:t>第</w:t>
      </w:r>
      <w:r>
        <w:rPr>
          <w:rFonts w:hint="eastAsia" w:ascii="黑体" w:hAnsi="黑体" w:eastAsia="黑体" w:cs="黑体"/>
          <w:spacing w:val="26"/>
          <w:sz w:val="31"/>
          <w:szCs w:val="31"/>
          <w:lang w:eastAsia="zh-CN"/>
        </w:rPr>
        <w:t>一</w:t>
      </w:r>
      <w:r>
        <w:rPr>
          <w:rFonts w:ascii="黑体" w:hAnsi="黑体" w:eastAsia="黑体" w:cs="黑体"/>
          <w:spacing w:val="26"/>
          <w:sz w:val="31"/>
          <w:szCs w:val="31"/>
          <w:lang w:eastAsia="zh-CN"/>
        </w:rPr>
        <w:t>章 研究</w:t>
      </w:r>
      <w:r>
        <w:rPr>
          <w:rFonts w:hint="eastAsia" w:ascii="黑体" w:hAnsi="黑体" w:eastAsia="黑体" w:cs="黑体"/>
          <w:spacing w:val="26"/>
          <w:sz w:val="31"/>
          <w:szCs w:val="31"/>
          <w:lang w:eastAsia="zh-CN"/>
        </w:rPr>
        <w:t>生国家奖学金申请条件</w:t>
      </w:r>
    </w:p>
    <w:p w14:paraId="53545F10">
      <w:pPr>
        <w:pStyle w:val="2"/>
        <w:spacing w:before="250" w:line="364" w:lineRule="auto"/>
        <w:ind w:left="33" w:right="102" w:firstLine="653"/>
        <w:rPr>
          <w:rFonts w:hint="eastAsia"/>
          <w:spacing w:val="8"/>
          <w:lang w:eastAsia="zh-CN"/>
        </w:rPr>
      </w:pPr>
      <w:r>
        <w:rPr>
          <w:rFonts w:hint="eastAsia"/>
          <w:spacing w:val="8"/>
          <w:lang w:eastAsia="zh-CN"/>
        </w:rPr>
        <w:t>第一条 博士生奖励标准为每生每年 3 万元，硕士生奖励标准为每生每年 2 万元。</w:t>
      </w:r>
    </w:p>
    <w:p w14:paraId="66CFC9C5">
      <w:pPr>
        <w:pStyle w:val="2"/>
        <w:spacing w:before="52" w:line="357" w:lineRule="auto"/>
        <w:ind w:left="34" w:right="37" w:firstLine="651"/>
        <w:rPr>
          <w:rFonts w:hint="eastAsia"/>
          <w:spacing w:val="8"/>
          <w:lang w:eastAsia="zh-CN"/>
        </w:rPr>
      </w:pPr>
      <w:r>
        <w:rPr>
          <w:spacing w:val="36"/>
          <w:lang w:eastAsia="zh-CN"/>
        </w:rPr>
        <w:t>学院硕士研究生国家奖学金名额分配给二年</w:t>
      </w:r>
      <w:r>
        <w:rPr>
          <w:spacing w:val="35"/>
          <w:lang w:eastAsia="zh-CN"/>
        </w:rPr>
        <w:t>级及以</w:t>
      </w:r>
      <w:r>
        <w:rPr>
          <w:lang w:eastAsia="zh-CN"/>
        </w:rPr>
        <w:t xml:space="preserve"> </w:t>
      </w:r>
      <w:r>
        <w:rPr>
          <w:spacing w:val="19"/>
          <w:lang w:eastAsia="zh-CN"/>
        </w:rPr>
        <w:t>上的硕士研究生。</w:t>
      </w:r>
    </w:p>
    <w:p w14:paraId="4C7C660E">
      <w:pPr>
        <w:pStyle w:val="2"/>
        <w:spacing w:before="250" w:line="364" w:lineRule="auto"/>
        <w:ind w:left="33" w:right="102" w:firstLine="653"/>
        <w:rPr>
          <w:rFonts w:hint="eastAsia"/>
          <w:spacing w:val="8"/>
          <w:lang w:eastAsia="zh-CN"/>
        </w:rPr>
      </w:pPr>
      <w:r>
        <w:rPr>
          <w:rFonts w:hint="eastAsia"/>
          <w:spacing w:val="8"/>
          <w:lang w:eastAsia="zh-CN"/>
        </w:rPr>
        <w:t>第二条 学习成绩优异，并且已修课程成绩加权平均分在班级排名前 25%。</w:t>
      </w:r>
    </w:p>
    <w:p w14:paraId="5B63F89B">
      <w:pPr>
        <w:pStyle w:val="2"/>
        <w:spacing w:before="250" w:line="364" w:lineRule="auto"/>
        <w:ind w:left="33" w:right="102" w:firstLine="653"/>
        <w:rPr>
          <w:rFonts w:hint="eastAsia"/>
          <w:spacing w:val="8"/>
          <w:lang w:eastAsia="zh-CN"/>
        </w:rPr>
      </w:pPr>
      <w:r>
        <w:rPr>
          <w:rFonts w:hint="eastAsia"/>
          <w:spacing w:val="8"/>
          <w:lang w:eastAsia="zh-CN"/>
        </w:rPr>
        <w:t>第三条 总评分计算方法：</w:t>
      </w:r>
    </w:p>
    <w:p w14:paraId="25454420">
      <w:pPr>
        <w:pStyle w:val="2"/>
        <w:spacing w:before="250" w:line="364" w:lineRule="auto"/>
        <w:ind w:left="33" w:right="102" w:firstLine="653"/>
        <w:rPr>
          <w:rFonts w:hint="eastAsia"/>
          <w:spacing w:val="8"/>
          <w:lang w:eastAsia="zh-CN"/>
        </w:rPr>
      </w:pPr>
      <w:r>
        <w:rPr>
          <w:rFonts w:hint="eastAsia"/>
          <w:spacing w:val="8"/>
          <w:lang w:eastAsia="zh-CN"/>
        </w:rPr>
        <w:t>考核总评分=学习成绩× 50% ＋科研分× 30% +活动分× 20%。</w:t>
      </w:r>
    </w:p>
    <w:p w14:paraId="6D535617">
      <w:pPr>
        <w:pStyle w:val="2"/>
        <w:spacing w:before="250" w:line="364" w:lineRule="auto"/>
        <w:ind w:left="33" w:right="102" w:firstLine="653"/>
        <w:rPr>
          <w:rFonts w:hint="eastAsia"/>
          <w:spacing w:val="8"/>
          <w:lang w:eastAsia="zh-CN"/>
        </w:rPr>
      </w:pPr>
      <w:r>
        <w:rPr>
          <w:rFonts w:hint="eastAsia"/>
          <w:spacing w:val="8"/>
          <w:lang w:eastAsia="zh-CN"/>
        </w:rPr>
        <w:t>1.学习成绩以研究生管理系统记录为准。</w:t>
      </w:r>
    </w:p>
    <w:p w14:paraId="311AA1B9">
      <w:pPr>
        <w:pStyle w:val="2"/>
        <w:spacing w:before="250" w:line="364" w:lineRule="auto"/>
        <w:ind w:left="33" w:right="102" w:firstLine="653"/>
        <w:rPr>
          <w:rFonts w:hint="eastAsia"/>
          <w:spacing w:val="8"/>
          <w:lang w:eastAsia="zh-CN"/>
        </w:rPr>
      </w:pPr>
      <w:r>
        <w:rPr>
          <w:rFonts w:hint="eastAsia"/>
          <w:spacing w:val="8"/>
          <w:lang w:eastAsia="zh-CN"/>
        </w:rPr>
        <w:t>2.科研分计算规则</w:t>
      </w:r>
    </w:p>
    <w:p w14:paraId="65BB094D">
      <w:pPr>
        <w:pStyle w:val="2"/>
        <w:spacing w:before="250" w:line="364" w:lineRule="auto"/>
        <w:ind w:left="33" w:right="102" w:firstLine="653"/>
        <w:jc w:val="both"/>
        <w:rPr>
          <w:rFonts w:hint="eastAsia"/>
          <w:spacing w:val="8"/>
          <w:lang w:eastAsia="zh-CN"/>
        </w:rPr>
      </w:pPr>
      <w:r>
        <w:rPr>
          <w:rFonts w:hint="eastAsia"/>
          <w:spacing w:val="8"/>
          <w:lang w:eastAsia="zh-CN"/>
        </w:rPr>
        <w:t>（1）论文、课题等科研成果必须是研究生在读期间获得。论文类成果的具体认定标准参见学校科技处关于科技工作量的计算办法。论文需同时提交原件和复印件备查，用稿通知无效。</w:t>
      </w:r>
    </w:p>
    <w:p w14:paraId="5360B9AB">
      <w:pPr>
        <w:pStyle w:val="2"/>
        <w:ind w:firstLine="652" w:firstLineChars="200"/>
        <w:rPr>
          <w:rFonts w:hint="eastAsia"/>
          <w:spacing w:val="8"/>
          <w:lang w:eastAsia="zh-CN"/>
        </w:rPr>
      </w:pPr>
      <w:r>
        <w:rPr>
          <w:rFonts w:hint="eastAsia"/>
          <w:spacing w:val="8"/>
          <w:lang w:eastAsia="zh-CN"/>
        </w:rPr>
        <w:t>（2）同一科研成果不累计认定，同一事项就高不就低。</w:t>
      </w:r>
    </w:p>
    <w:p w14:paraId="40BFC823">
      <w:pPr>
        <w:pStyle w:val="2"/>
        <w:spacing w:before="250" w:line="364" w:lineRule="auto"/>
        <w:ind w:left="33" w:right="102" w:firstLine="653"/>
        <w:rPr>
          <w:rFonts w:hint="eastAsia"/>
          <w:spacing w:val="8"/>
          <w:lang w:eastAsia="zh-CN"/>
        </w:rPr>
      </w:pPr>
      <w:r>
        <w:rPr>
          <w:rFonts w:hint="eastAsia"/>
          <w:spacing w:val="8"/>
          <w:lang w:eastAsia="zh-CN"/>
        </w:rPr>
        <w:t>（3）论文必须为第一作者或作为导师撰写论文的第二作者，完成单位必须为上海海事大学，公开发表的法学相关论文，且论文在中国知网上可查。</w:t>
      </w:r>
    </w:p>
    <w:p w14:paraId="186DB997">
      <w:pPr>
        <w:pStyle w:val="2"/>
        <w:spacing w:before="250" w:line="364" w:lineRule="auto"/>
        <w:ind w:left="33" w:right="102" w:firstLine="653"/>
        <w:rPr>
          <w:rFonts w:hint="eastAsia"/>
          <w:spacing w:val="8"/>
          <w:lang w:eastAsia="zh-CN"/>
        </w:rPr>
      </w:pPr>
      <w:r>
        <w:rPr>
          <w:rFonts w:hint="eastAsia"/>
          <w:spacing w:val="8"/>
          <w:lang w:eastAsia="zh-CN"/>
        </w:rPr>
        <w:t>（4）科研成果评分和具体要求以表格为准，对于其它国际性、全国性学术会议及竞赛，由学院学位评定分委会制定认定范围名单，当前学院认可的赛事目录参考上海海事大学法学院学科竞赛推荐项目等相关文件，具体加分情况可由学院研究生评奖评优评审小组结合实际情况确定。</w:t>
      </w:r>
    </w:p>
    <w:tbl>
      <w:tblPr>
        <w:tblStyle w:val="6"/>
        <w:tblW w:w="914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640"/>
        <w:gridCol w:w="1087"/>
        <w:gridCol w:w="904"/>
        <w:gridCol w:w="889"/>
        <w:gridCol w:w="2753"/>
      </w:tblGrid>
      <w:tr w14:paraId="7CFD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tcBorders>
              <w:top w:val="single" w:color="auto" w:sz="4" w:space="0"/>
              <w:left w:val="single" w:color="auto" w:sz="4" w:space="0"/>
              <w:bottom w:val="single" w:color="auto" w:sz="4" w:space="0"/>
              <w:right w:val="single" w:color="auto" w:sz="4" w:space="0"/>
            </w:tcBorders>
            <w:shd w:val="clear" w:color="auto" w:fill="FFFFFF"/>
            <w:vAlign w:val="center"/>
          </w:tcPr>
          <w:p w14:paraId="44758549">
            <w:pPr>
              <w:pStyle w:val="2"/>
              <w:widowControl w:val="0"/>
              <w:spacing w:before="166"/>
              <w:ind w:right="153"/>
              <w:jc w:val="center"/>
              <w:rPr>
                <w:rFonts w:hint="eastAsia"/>
                <w:b/>
                <w:sz w:val="24"/>
                <w:szCs w:val="24"/>
                <w:lang w:eastAsia="zh-CN"/>
              </w:rPr>
            </w:pPr>
            <w:r>
              <w:rPr>
                <w:rFonts w:hint="eastAsia"/>
                <w:b/>
                <w:sz w:val="24"/>
                <w:szCs w:val="24"/>
                <w:lang w:eastAsia="zh-CN"/>
              </w:rPr>
              <w:t>类别</w:t>
            </w:r>
          </w:p>
        </w:tc>
        <w:tc>
          <w:tcPr>
            <w:tcW w:w="2640" w:type="dxa"/>
            <w:tcBorders>
              <w:top w:val="single" w:color="auto" w:sz="4" w:space="0"/>
              <w:left w:val="single" w:color="auto" w:sz="4" w:space="0"/>
              <w:bottom w:val="single" w:color="auto" w:sz="4" w:space="0"/>
              <w:right w:val="single" w:color="auto" w:sz="4" w:space="0"/>
            </w:tcBorders>
            <w:shd w:val="clear" w:color="auto" w:fill="FFFFFF"/>
            <w:vAlign w:val="center"/>
          </w:tcPr>
          <w:p w14:paraId="6B871A88">
            <w:pPr>
              <w:pStyle w:val="2"/>
              <w:widowControl w:val="0"/>
              <w:spacing w:before="166"/>
              <w:ind w:right="153"/>
              <w:jc w:val="center"/>
              <w:rPr>
                <w:rFonts w:hint="eastAsia"/>
                <w:b/>
                <w:sz w:val="24"/>
                <w:szCs w:val="24"/>
                <w:lang w:eastAsia="zh-CN"/>
              </w:rPr>
            </w:pPr>
            <w:r>
              <w:rPr>
                <w:rFonts w:hint="eastAsia"/>
                <w:b/>
                <w:sz w:val="24"/>
                <w:szCs w:val="24"/>
                <w:lang w:eastAsia="zh-CN"/>
              </w:rPr>
              <w:t>项目名称</w:t>
            </w:r>
          </w:p>
        </w:tc>
        <w:tc>
          <w:tcPr>
            <w:tcW w:w="1087" w:type="dxa"/>
            <w:tcBorders>
              <w:top w:val="single" w:color="auto" w:sz="4" w:space="0"/>
              <w:left w:val="single" w:color="auto" w:sz="4" w:space="0"/>
              <w:bottom w:val="single" w:color="auto" w:sz="4" w:space="0"/>
              <w:right w:val="single" w:color="auto" w:sz="4" w:space="0"/>
            </w:tcBorders>
            <w:shd w:val="clear" w:color="auto" w:fill="FFFFFF"/>
            <w:vAlign w:val="center"/>
          </w:tcPr>
          <w:p w14:paraId="3911CB84">
            <w:pPr>
              <w:pStyle w:val="2"/>
              <w:widowControl w:val="0"/>
              <w:spacing w:before="166"/>
              <w:ind w:right="153"/>
              <w:jc w:val="center"/>
              <w:rPr>
                <w:rFonts w:hint="eastAsia"/>
                <w:b/>
                <w:sz w:val="24"/>
                <w:szCs w:val="24"/>
                <w:lang w:eastAsia="zh-CN"/>
              </w:rPr>
            </w:pPr>
            <w:r>
              <w:rPr>
                <w:rFonts w:hint="eastAsia"/>
                <w:b/>
                <w:sz w:val="24"/>
                <w:szCs w:val="24"/>
                <w:lang w:eastAsia="zh-CN"/>
              </w:rPr>
              <w:t>级别</w:t>
            </w:r>
          </w:p>
        </w:tc>
        <w:tc>
          <w:tcPr>
            <w:tcW w:w="904" w:type="dxa"/>
            <w:tcBorders>
              <w:top w:val="single" w:color="auto" w:sz="4" w:space="0"/>
              <w:left w:val="single" w:color="auto" w:sz="4" w:space="0"/>
              <w:bottom w:val="single" w:color="auto" w:sz="4" w:space="0"/>
              <w:right w:val="single" w:color="auto" w:sz="4" w:space="0"/>
            </w:tcBorders>
            <w:shd w:val="clear" w:color="auto" w:fill="FFFFFF"/>
            <w:vAlign w:val="center"/>
          </w:tcPr>
          <w:p w14:paraId="7AB96762">
            <w:pPr>
              <w:pStyle w:val="2"/>
              <w:widowControl w:val="0"/>
              <w:spacing w:before="166"/>
              <w:ind w:right="153"/>
              <w:jc w:val="center"/>
              <w:rPr>
                <w:rFonts w:hint="eastAsia"/>
                <w:b/>
                <w:sz w:val="24"/>
                <w:szCs w:val="24"/>
                <w:lang w:eastAsia="zh-CN"/>
              </w:rPr>
            </w:pPr>
            <w:r>
              <w:rPr>
                <w:rFonts w:hint="eastAsia"/>
                <w:b/>
                <w:sz w:val="24"/>
                <w:szCs w:val="24"/>
                <w:lang w:eastAsia="zh-CN"/>
              </w:rPr>
              <w:t>分数</w:t>
            </w:r>
          </w:p>
        </w:tc>
        <w:tc>
          <w:tcPr>
            <w:tcW w:w="889" w:type="dxa"/>
            <w:tcBorders>
              <w:top w:val="single" w:color="auto" w:sz="4" w:space="0"/>
              <w:left w:val="single" w:color="auto" w:sz="4" w:space="0"/>
              <w:bottom w:val="single" w:color="auto" w:sz="4" w:space="0"/>
              <w:right w:val="single" w:color="auto" w:sz="4" w:space="0"/>
            </w:tcBorders>
            <w:shd w:val="clear" w:color="auto" w:fill="FFFFFF"/>
            <w:vAlign w:val="center"/>
          </w:tcPr>
          <w:p w14:paraId="35C0120A">
            <w:pPr>
              <w:pStyle w:val="2"/>
              <w:widowControl w:val="0"/>
              <w:spacing w:before="166"/>
              <w:ind w:right="153"/>
              <w:jc w:val="center"/>
              <w:rPr>
                <w:rFonts w:hint="eastAsia"/>
                <w:b/>
                <w:sz w:val="24"/>
                <w:szCs w:val="24"/>
                <w:lang w:eastAsia="zh-CN"/>
              </w:rPr>
            </w:pPr>
            <w:r>
              <w:rPr>
                <w:rFonts w:hint="eastAsia"/>
                <w:b/>
                <w:sz w:val="24"/>
                <w:szCs w:val="24"/>
                <w:lang w:eastAsia="zh-CN"/>
              </w:rPr>
              <w:t>上限</w:t>
            </w:r>
          </w:p>
        </w:tc>
        <w:tc>
          <w:tcPr>
            <w:tcW w:w="2753" w:type="dxa"/>
            <w:tcBorders>
              <w:top w:val="single" w:color="auto" w:sz="4" w:space="0"/>
              <w:left w:val="single" w:color="auto" w:sz="4" w:space="0"/>
              <w:bottom w:val="single" w:color="auto" w:sz="4" w:space="0"/>
              <w:right w:val="single" w:color="auto" w:sz="4" w:space="0"/>
            </w:tcBorders>
            <w:shd w:val="clear" w:color="auto" w:fill="FFFFFF"/>
            <w:vAlign w:val="center"/>
          </w:tcPr>
          <w:p w14:paraId="2480D1CA">
            <w:pPr>
              <w:pStyle w:val="2"/>
              <w:widowControl w:val="0"/>
              <w:spacing w:before="166"/>
              <w:ind w:right="153"/>
              <w:jc w:val="center"/>
              <w:rPr>
                <w:rFonts w:hint="eastAsia"/>
                <w:b/>
                <w:sz w:val="24"/>
                <w:szCs w:val="24"/>
                <w:lang w:eastAsia="zh-CN"/>
              </w:rPr>
            </w:pPr>
            <w:r>
              <w:rPr>
                <w:rFonts w:hint="eastAsia"/>
                <w:b/>
                <w:sz w:val="24"/>
                <w:szCs w:val="24"/>
                <w:lang w:eastAsia="zh-CN"/>
              </w:rPr>
              <w:t>其他</w:t>
            </w:r>
          </w:p>
        </w:tc>
      </w:tr>
      <w:tr w14:paraId="31DB5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254DDAF">
            <w:pPr>
              <w:pStyle w:val="2"/>
              <w:widowControl w:val="0"/>
              <w:spacing w:before="166"/>
              <w:ind w:right="153"/>
              <w:jc w:val="center"/>
              <w:rPr>
                <w:rFonts w:hint="eastAsia"/>
                <w:spacing w:val="-2"/>
                <w:sz w:val="21"/>
                <w:szCs w:val="21"/>
                <w:lang w:eastAsia="zh-CN"/>
              </w:rPr>
            </w:pPr>
            <w:r>
              <w:rPr>
                <w:rFonts w:hint="eastAsia"/>
                <w:spacing w:val="-2"/>
                <w:sz w:val="21"/>
                <w:szCs w:val="21"/>
                <w:lang w:eastAsia="zh-CN"/>
              </w:rPr>
              <w:t>论文</w:t>
            </w:r>
          </w:p>
        </w:tc>
        <w:tc>
          <w:tcPr>
            <w:tcW w:w="2640" w:type="dxa"/>
            <w:tcBorders>
              <w:top w:val="single" w:color="auto" w:sz="4" w:space="0"/>
              <w:left w:val="single" w:color="auto" w:sz="4" w:space="0"/>
              <w:bottom w:val="single" w:color="auto" w:sz="4" w:space="0"/>
              <w:right w:val="single" w:color="auto" w:sz="4" w:space="0"/>
            </w:tcBorders>
            <w:shd w:val="clear" w:color="auto" w:fill="FFFFFF"/>
            <w:vAlign w:val="center"/>
          </w:tcPr>
          <w:p w14:paraId="5CC9452F">
            <w:pPr>
              <w:pStyle w:val="2"/>
              <w:widowControl w:val="0"/>
              <w:spacing w:before="166"/>
              <w:ind w:right="153"/>
              <w:jc w:val="center"/>
              <w:rPr>
                <w:rFonts w:hint="eastAsia"/>
                <w:sz w:val="21"/>
                <w:szCs w:val="21"/>
              </w:rPr>
            </w:pPr>
            <w:r>
              <w:rPr>
                <w:spacing w:val="-2"/>
                <w:sz w:val="21"/>
                <w:szCs w:val="21"/>
              </w:rPr>
              <w:t>CSSCI</w:t>
            </w:r>
            <w:r>
              <w:rPr>
                <w:spacing w:val="-45"/>
                <w:sz w:val="21"/>
                <w:szCs w:val="21"/>
              </w:rPr>
              <w:t xml:space="preserve"> </w:t>
            </w:r>
            <w:r>
              <w:rPr>
                <w:spacing w:val="-2"/>
                <w:sz w:val="21"/>
                <w:szCs w:val="21"/>
              </w:rPr>
              <w:t>期刊</w:t>
            </w:r>
          </w:p>
        </w:tc>
        <w:tc>
          <w:tcPr>
            <w:tcW w:w="1087" w:type="dxa"/>
            <w:tcBorders>
              <w:top w:val="single" w:color="auto" w:sz="4" w:space="0"/>
              <w:left w:val="single" w:color="auto" w:sz="4" w:space="0"/>
              <w:bottom w:val="single" w:color="auto" w:sz="4" w:space="0"/>
              <w:right w:val="single" w:color="auto" w:sz="4" w:space="0"/>
            </w:tcBorders>
            <w:shd w:val="clear" w:color="auto" w:fill="FFFFFF"/>
            <w:vAlign w:val="center"/>
          </w:tcPr>
          <w:p w14:paraId="30700846">
            <w:pPr>
              <w:pStyle w:val="2"/>
              <w:widowControl w:val="0"/>
              <w:spacing w:before="166"/>
              <w:ind w:right="153"/>
              <w:jc w:val="center"/>
              <w:rPr>
                <w:rFonts w:hint="eastAsia"/>
                <w:sz w:val="21"/>
                <w:szCs w:val="21"/>
                <w:lang w:eastAsia="zh-CN"/>
              </w:rPr>
            </w:pPr>
          </w:p>
        </w:tc>
        <w:tc>
          <w:tcPr>
            <w:tcW w:w="904" w:type="dxa"/>
            <w:tcBorders>
              <w:top w:val="single" w:color="auto" w:sz="4" w:space="0"/>
              <w:left w:val="single" w:color="auto" w:sz="4" w:space="0"/>
              <w:bottom w:val="single" w:color="auto" w:sz="4" w:space="0"/>
              <w:right w:val="single" w:color="auto" w:sz="4" w:space="0"/>
            </w:tcBorders>
            <w:shd w:val="clear" w:color="auto" w:fill="FFFFFF"/>
            <w:vAlign w:val="center"/>
          </w:tcPr>
          <w:p w14:paraId="54FA23FE">
            <w:pPr>
              <w:pStyle w:val="2"/>
              <w:widowControl w:val="0"/>
              <w:spacing w:before="166"/>
              <w:ind w:right="153"/>
              <w:jc w:val="center"/>
              <w:rPr>
                <w:rFonts w:hint="eastAsia"/>
                <w:sz w:val="21"/>
                <w:szCs w:val="21"/>
                <w:lang w:eastAsia="zh-CN"/>
              </w:rPr>
            </w:pPr>
            <w:r>
              <w:rPr>
                <w:rFonts w:hint="eastAsia"/>
                <w:sz w:val="21"/>
                <w:szCs w:val="21"/>
                <w:lang w:eastAsia="zh-CN"/>
              </w:rPr>
              <w:t>30</w:t>
            </w:r>
          </w:p>
        </w:tc>
        <w:tc>
          <w:tcPr>
            <w:tcW w:w="889" w:type="dxa"/>
            <w:tcBorders>
              <w:top w:val="single" w:color="auto" w:sz="4" w:space="0"/>
              <w:left w:val="single" w:color="auto" w:sz="4" w:space="0"/>
              <w:bottom w:val="single" w:color="auto" w:sz="4" w:space="0"/>
              <w:right w:val="single" w:color="auto" w:sz="4" w:space="0"/>
            </w:tcBorders>
            <w:shd w:val="clear" w:color="auto" w:fill="FFFFFF"/>
            <w:vAlign w:val="center"/>
          </w:tcPr>
          <w:p w14:paraId="1B43BAD1">
            <w:pPr>
              <w:pStyle w:val="2"/>
              <w:widowControl w:val="0"/>
              <w:spacing w:before="166"/>
              <w:ind w:right="153"/>
              <w:jc w:val="center"/>
              <w:rPr>
                <w:rFonts w:hint="eastAsia"/>
                <w:sz w:val="21"/>
                <w:szCs w:val="21"/>
              </w:rPr>
            </w:pPr>
          </w:p>
        </w:tc>
        <w:tc>
          <w:tcPr>
            <w:tcW w:w="2753" w:type="dxa"/>
            <w:tcBorders>
              <w:top w:val="single" w:color="auto" w:sz="4" w:space="0"/>
              <w:left w:val="single" w:color="auto" w:sz="4" w:space="0"/>
              <w:bottom w:val="single" w:color="auto" w:sz="4" w:space="0"/>
              <w:right w:val="single" w:color="auto" w:sz="4" w:space="0"/>
            </w:tcBorders>
            <w:shd w:val="clear" w:color="auto" w:fill="FFFFFF"/>
            <w:vAlign w:val="center"/>
          </w:tcPr>
          <w:p w14:paraId="10629ADA">
            <w:pPr>
              <w:pStyle w:val="2"/>
              <w:widowControl w:val="0"/>
              <w:spacing w:before="166"/>
              <w:ind w:right="153"/>
              <w:jc w:val="center"/>
              <w:rPr>
                <w:rFonts w:hint="eastAsia"/>
                <w:sz w:val="21"/>
                <w:szCs w:val="21"/>
              </w:rPr>
            </w:pPr>
          </w:p>
        </w:tc>
      </w:tr>
      <w:tr w14:paraId="684B3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6847EB7">
            <w:pPr>
              <w:pStyle w:val="2"/>
              <w:widowControl w:val="0"/>
              <w:spacing w:before="166"/>
              <w:ind w:right="153"/>
              <w:jc w:val="center"/>
              <w:rPr>
                <w:rFonts w:hint="eastAsia"/>
                <w:spacing w:val="16"/>
                <w:sz w:val="21"/>
                <w:szCs w:val="21"/>
              </w:rPr>
            </w:pPr>
          </w:p>
        </w:tc>
        <w:tc>
          <w:tcPr>
            <w:tcW w:w="2640" w:type="dxa"/>
            <w:tcBorders>
              <w:top w:val="single" w:color="auto" w:sz="4" w:space="0"/>
              <w:left w:val="single" w:color="auto" w:sz="4" w:space="0"/>
              <w:bottom w:val="single" w:color="auto" w:sz="4" w:space="0"/>
              <w:right w:val="single" w:color="auto" w:sz="4" w:space="0"/>
            </w:tcBorders>
            <w:shd w:val="clear" w:color="auto" w:fill="FFFFFF"/>
            <w:vAlign w:val="center"/>
          </w:tcPr>
          <w:p w14:paraId="63FE11F0">
            <w:pPr>
              <w:pStyle w:val="2"/>
              <w:widowControl w:val="0"/>
              <w:spacing w:before="166"/>
              <w:ind w:right="153"/>
              <w:jc w:val="center"/>
              <w:rPr>
                <w:rFonts w:hint="eastAsia"/>
                <w:sz w:val="21"/>
                <w:szCs w:val="21"/>
              </w:rPr>
            </w:pPr>
            <w:r>
              <w:rPr>
                <w:spacing w:val="16"/>
                <w:sz w:val="21"/>
                <w:szCs w:val="21"/>
              </w:rPr>
              <w:t>北大中文核心期刊</w:t>
            </w:r>
          </w:p>
        </w:tc>
        <w:tc>
          <w:tcPr>
            <w:tcW w:w="1087" w:type="dxa"/>
            <w:tcBorders>
              <w:top w:val="single" w:color="auto" w:sz="4" w:space="0"/>
              <w:left w:val="single" w:color="auto" w:sz="4" w:space="0"/>
              <w:bottom w:val="single" w:color="auto" w:sz="4" w:space="0"/>
              <w:right w:val="single" w:color="auto" w:sz="4" w:space="0"/>
            </w:tcBorders>
            <w:shd w:val="clear" w:color="auto" w:fill="FFFFFF"/>
            <w:vAlign w:val="center"/>
          </w:tcPr>
          <w:p w14:paraId="25030DC3">
            <w:pPr>
              <w:pStyle w:val="2"/>
              <w:widowControl w:val="0"/>
              <w:spacing w:before="166"/>
              <w:ind w:right="153"/>
              <w:jc w:val="center"/>
              <w:rPr>
                <w:rFonts w:hint="eastAsia"/>
                <w:sz w:val="21"/>
                <w:szCs w:val="21"/>
                <w:lang w:eastAsia="zh-CN"/>
              </w:rPr>
            </w:pPr>
          </w:p>
        </w:tc>
        <w:tc>
          <w:tcPr>
            <w:tcW w:w="904" w:type="dxa"/>
            <w:tcBorders>
              <w:top w:val="single" w:color="auto" w:sz="4" w:space="0"/>
              <w:left w:val="single" w:color="auto" w:sz="4" w:space="0"/>
              <w:bottom w:val="single" w:color="auto" w:sz="4" w:space="0"/>
              <w:right w:val="single" w:color="auto" w:sz="4" w:space="0"/>
            </w:tcBorders>
            <w:shd w:val="clear" w:color="auto" w:fill="FFFFFF"/>
            <w:vAlign w:val="center"/>
          </w:tcPr>
          <w:p w14:paraId="0133C90F">
            <w:pPr>
              <w:pStyle w:val="2"/>
              <w:widowControl w:val="0"/>
              <w:spacing w:before="166"/>
              <w:ind w:right="153"/>
              <w:jc w:val="center"/>
              <w:rPr>
                <w:rFonts w:hint="eastAsia"/>
                <w:sz w:val="21"/>
                <w:szCs w:val="21"/>
                <w:lang w:eastAsia="zh-CN"/>
              </w:rPr>
            </w:pPr>
            <w:r>
              <w:rPr>
                <w:rFonts w:hint="eastAsia"/>
                <w:sz w:val="21"/>
                <w:szCs w:val="21"/>
                <w:lang w:eastAsia="zh-CN"/>
              </w:rPr>
              <w:t>15</w:t>
            </w:r>
          </w:p>
        </w:tc>
        <w:tc>
          <w:tcPr>
            <w:tcW w:w="889" w:type="dxa"/>
            <w:tcBorders>
              <w:top w:val="single" w:color="auto" w:sz="4" w:space="0"/>
              <w:left w:val="single" w:color="auto" w:sz="4" w:space="0"/>
              <w:bottom w:val="single" w:color="auto" w:sz="4" w:space="0"/>
              <w:right w:val="single" w:color="auto" w:sz="4" w:space="0"/>
            </w:tcBorders>
            <w:shd w:val="clear" w:color="auto" w:fill="FFFFFF"/>
            <w:vAlign w:val="center"/>
          </w:tcPr>
          <w:p w14:paraId="3AB50869">
            <w:pPr>
              <w:pStyle w:val="2"/>
              <w:widowControl w:val="0"/>
              <w:spacing w:before="166"/>
              <w:ind w:right="153"/>
              <w:jc w:val="center"/>
              <w:rPr>
                <w:rFonts w:hint="eastAsia"/>
                <w:sz w:val="21"/>
                <w:szCs w:val="21"/>
                <w:lang w:eastAsia="zh-CN"/>
              </w:rPr>
            </w:pPr>
            <w:r>
              <w:rPr>
                <w:rFonts w:hint="eastAsia"/>
                <w:sz w:val="21"/>
                <w:szCs w:val="21"/>
                <w:lang w:eastAsia="zh-CN"/>
              </w:rPr>
              <w:t>两篇封顶</w:t>
            </w:r>
          </w:p>
        </w:tc>
        <w:tc>
          <w:tcPr>
            <w:tcW w:w="275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E107452">
            <w:pPr>
              <w:pStyle w:val="2"/>
              <w:widowControl w:val="0"/>
              <w:spacing w:before="166"/>
              <w:ind w:right="153"/>
              <w:jc w:val="both"/>
              <w:rPr>
                <w:rFonts w:hint="eastAsia"/>
                <w:sz w:val="21"/>
                <w:szCs w:val="21"/>
                <w:lang w:eastAsia="zh-CN"/>
              </w:rPr>
            </w:pPr>
            <w:r>
              <w:rPr>
                <w:spacing w:val="11"/>
                <w:sz w:val="21"/>
                <w:szCs w:val="21"/>
                <w:lang w:eastAsia="zh-CN"/>
              </w:rPr>
              <w:t>论文</w:t>
            </w:r>
            <w:r>
              <w:rPr>
                <w:spacing w:val="18"/>
                <w:sz w:val="21"/>
                <w:szCs w:val="21"/>
                <w:lang w:eastAsia="zh-CN"/>
              </w:rPr>
              <w:t>等级认定参考《中国社会科学引文索引》集刊</w:t>
            </w:r>
          </w:p>
        </w:tc>
      </w:tr>
      <w:tr w14:paraId="336E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90AF40D">
            <w:pPr>
              <w:pStyle w:val="2"/>
              <w:widowControl w:val="0"/>
              <w:spacing w:before="166"/>
              <w:ind w:right="153"/>
              <w:jc w:val="center"/>
              <w:rPr>
                <w:rFonts w:hint="eastAsia"/>
                <w:sz w:val="21"/>
                <w:szCs w:val="21"/>
                <w:lang w:eastAsia="zh-CN"/>
              </w:rPr>
            </w:pPr>
          </w:p>
        </w:tc>
        <w:tc>
          <w:tcPr>
            <w:tcW w:w="2640" w:type="dxa"/>
            <w:tcBorders>
              <w:top w:val="single" w:color="auto" w:sz="4" w:space="0"/>
              <w:left w:val="single" w:color="auto" w:sz="4" w:space="0"/>
              <w:bottom w:val="single" w:color="auto" w:sz="4" w:space="0"/>
              <w:right w:val="single" w:color="auto" w:sz="4" w:space="0"/>
            </w:tcBorders>
            <w:shd w:val="clear" w:color="auto" w:fill="FFFFFF"/>
            <w:vAlign w:val="center"/>
          </w:tcPr>
          <w:p w14:paraId="244170A3">
            <w:pPr>
              <w:pStyle w:val="2"/>
              <w:widowControl w:val="0"/>
              <w:spacing w:before="166"/>
              <w:ind w:right="153"/>
              <w:jc w:val="center"/>
              <w:rPr>
                <w:rFonts w:hint="eastAsia"/>
                <w:sz w:val="21"/>
                <w:szCs w:val="21"/>
                <w:lang w:eastAsia="zh-CN"/>
              </w:rPr>
            </w:pPr>
            <w:r>
              <w:rPr>
                <w:rFonts w:hint="eastAsia"/>
                <w:sz w:val="21"/>
                <w:szCs w:val="21"/>
                <w:lang w:eastAsia="zh-CN"/>
              </w:rPr>
              <w:t>其他普刊</w:t>
            </w:r>
          </w:p>
        </w:tc>
        <w:tc>
          <w:tcPr>
            <w:tcW w:w="1087" w:type="dxa"/>
            <w:tcBorders>
              <w:top w:val="single" w:color="auto" w:sz="4" w:space="0"/>
              <w:left w:val="single" w:color="auto" w:sz="4" w:space="0"/>
              <w:bottom w:val="single" w:color="auto" w:sz="4" w:space="0"/>
              <w:right w:val="single" w:color="auto" w:sz="4" w:space="0"/>
            </w:tcBorders>
            <w:shd w:val="clear" w:color="auto" w:fill="FFFFFF"/>
            <w:vAlign w:val="center"/>
          </w:tcPr>
          <w:p w14:paraId="7D8AF5DA">
            <w:pPr>
              <w:pStyle w:val="2"/>
              <w:widowControl w:val="0"/>
              <w:spacing w:before="166"/>
              <w:ind w:right="153"/>
              <w:jc w:val="center"/>
              <w:rPr>
                <w:rFonts w:hint="eastAsia"/>
                <w:sz w:val="21"/>
                <w:szCs w:val="21"/>
                <w:lang w:eastAsia="zh-CN"/>
              </w:rPr>
            </w:pPr>
          </w:p>
        </w:tc>
        <w:tc>
          <w:tcPr>
            <w:tcW w:w="904" w:type="dxa"/>
            <w:tcBorders>
              <w:top w:val="single" w:color="auto" w:sz="4" w:space="0"/>
              <w:left w:val="single" w:color="auto" w:sz="4" w:space="0"/>
              <w:bottom w:val="single" w:color="auto" w:sz="4" w:space="0"/>
              <w:right w:val="single" w:color="auto" w:sz="4" w:space="0"/>
            </w:tcBorders>
            <w:shd w:val="clear" w:color="auto" w:fill="FFFFFF"/>
            <w:vAlign w:val="center"/>
          </w:tcPr>
          <w:p w14:paraId="5706A7D3">
            <w:pPr>
              <w:pStyle w:val="2"/>
              <w:widowControl w:val="0"/>
              <w:spacing w:before="166"/>
              <w:ind w:right="153"/>
              <w:jc w:val="center"/>
              <w:rPr>
                <w:rFonts w:hint="eastAsia"/>
                <w:sz w:val="21"/>
                <w:szCs w:val="21"/>
                <w:lang w:eastAsia="zh-CN"/>
              </w:rPr>
            </w:pPr>
            <w:r>
              <w:rPr>
                <w:rFonts w:hint="eastAsia"/>
                <w:sz w:val="21"/>
                <w:szCs w:val="21"/>
                <w:lang w:eastAsia="zh-CN"/>
              </w:rPr>
              <w:t>2</w:t>
            </w:r>
          </w:p>
        </w:tc>
        <w:tc>
          <w:tcPr>
            <w:tcW w:w="889" w:type="dxa"/>
            <w:tcBorders>
              <w:top w:val="single" w:color="auto" w:sz="4" w:space="0"/>
              <w:left w:val="single" w:color="auto" w:sz="4" w:space="0"/>
              <w:bottom w:val="single" w:color="auto" w:sz="4" w:space="0"/>
              <w:right w:val="single" w:color="auto" w:sz="4" w:space="0"/>
            </w:tcBorders>
            <w:shd w:val="clear" w:color="auto" w:fill="FFFFFF"/>
            <w:vAlign w:val="center"/>
          </w:tcPr>
          <w:p w14:paraId="35613EC4">
            <w:pPr>
              <w:pStyle w:val="2"/>
              <w:widowControl w:val="0"/>
              <w:spacing w:before="166"/>
              <w:ind w:right="153"/>
              <w:jc w:val="center"/>
              <w:rPr>
                <w:rFonts w:hint="eastAsia"/>
                <w:sz w:val="21"/>
                <w:szCs w:val="21"/>
                <w:lang w:eastAsia="zh-CN"/>
              </w:rPr>
            </w:pPr>
            <w:r>
              <w:rPr>
                <w:rFonts w:hint="eastAsia"/>
                <w:sz w:val="21"/>
                <w:szCs w:val="21"/>
                <w:lang w:eastAsia="zh-CN"/>
              </w:rPr>
              <w:t>一篇封顶</w:t>
            </w:r>
          </w:p>
        </w:tc>
        <w:tc>
          <w:tcPr>
            <w:tcW w:w="275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EB1BB5E">
            <w:pPr>
              <w:pStyle w:val="2"/>
              <w:widowControl w:val="0"/>
              <w:spacing w:before="166"/>
              <w:ind w:right="153"/>
              <w:jc w:val="both"/>
              <w:rPr>
                <w:rFonts w:hint="eastAsia"/>
                <w:sz w:val="21"/>
                <w:szCs w:val="21"/>
                <w:lang w:eastAsia="zh-CN"/>
              </w:rPr>
            </w:pPr>
          </w:p>
        </w:tc>
      </w:tr>
      <w:tr w14:paraId="1624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8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E2966F2">
            <w:pPr>
              <w:pStyle w:val="2"/>
              <w:widowControl w:val="0"/>
              <w:spacing w:before="166"/>
              <w:ind w:right="153"/>
              <w:jc w:val="center"/>
              <w:rPr>
                <w:rFonts w:hint="eastAsia"/>
                <w:spacing w:val="7"/>
                <w:sz w:val="21"/>
                <w:szCs w:val="21"/>
                <w:lang w:eastAsia="zh-CN"/>
              </w:rPr>
            </w:pPr>
            <w:r>
              <w:rPr>
                <w:rFonts w:hint="eastAsia"/>
                <w:spacing w:val="7"/>
                <w:sz w:val="21"/>
                <w:szCs w:val="21"/>
                <w:lang w:eastAsia="zh-CN"/>
              </w:rPr>
              <w:t>项目</w:t>
            </w:r>
          </w:p>
        </w:tc>
        <w:tc>
          <w:tcPr>
            <w:tcW w:w="2640" w:type="dxa"/>
            <w:tcBorders>
              <w:top w:val="single" w:color="auto" w:sz="4" w:space="0"/>
              <w:left w:val="single" w:color="auto" w:sz="4" w:space="0"/>
              <w:bottom w:val="single" w:color="auto" w:sz="4" w:space="0"/>
              <w:right w:val="single" w:color="auto" w:sz="4" w:space="0"/>
            </w:tcBorders>
            <w:shd w:val="clear" w:color="auto" w:fill="FFFFFF"/>
            <w:vAlign w:val="center"/>
          </w:tcPr>
          <w:p w14:paraId="355F14C0">
            <w:pPr>
              <w:pStyle w:val="2"/>
              <w:widowControl w:val="0"/>
              <w:spacing w:before="166"/>
              <w:ind w:right="153"/>
              <w:jc w:val="center"/>
              <w:rPr>
                <w:rFonts w:hint="eastAsia"/>
                <w:sz w:val="21"/>
                <w:szCs w:val="21"/>
                <w:lang w:eastAsia="zh-CN"/>
              </w:rPr>
            </w:pPr>
            <w:r>
              <w:rPr>
                <w:spacing w:val="7"/>
                <w:sz w:val="21"/>
                <w:szCs w:val="21"/>
                <w:lang w:eastAsia="zh-CN"/>
              </w:rPr>
              <w:t>上海海事大学研究生创新基金资助项目</w:t>
            </w:r>
          </w:p>
        </w:tc>
        <w:tc>
          <w:tcPr>
            <w:tcW w:w="1087" w:type="dxa"/>
            <w:tcBorders>
              <w:top w:val="single" w:color="auto" w:sz="4" w:space="0"/>
              <w:left w:val="single" w:color="auto" w:sz="4" w:space="0"/>
              <w:bottom w:val="single" w:color="auto" w:sz="4" w:space="0"/>
              <w:right w:val="single" w:color="auto" w:sz="4" w:space="0"/>
            </w:tcBorders>
            <w:shd w:val="clear" w:color="auto" w:fill="FFFFFF"/>
            <w:vAlign w:val="center"/>
          </w:tcPr>
          <w:p w14:paraId="1BABE47E">
            <w:pPr>
              <w:pStyle w:val="2"/>
              <w:widowControl w:val="0"/>
              <w:spacing w:before="166"/>
              <w:ind w:right="153"/>
              <w:jc w:val="center"/>
              <w:rPr>
                <w:rFonts w:hint="eastAsia"/>
                <w:sz w:val="21"/>
                <w:szCs w:val="21"/>
                <w:lang w:eastAsia="zh-CN"/>
              </w:rPr>
            </w:pPr>
          </w:p>
        </w:tc>
        <w:tc>
          <w:tcPr>
            <w:tcW w:w="904" w:type="dxa"/>
            <w:tcBorders>
              <w:top w:val="single" w:color="auto" w:sz="4" w:space="0"/>
              <w:left w:val="single" w:color="auto" w:sz="4" w:space="0"/>
              <w:bottom w:val="single" w:color="auto" w:sz="4" w:space="0"/>
              <w:right w:val="single" w:color="auto" w:sz="4" w:space="0"/>
            </w:tcBorders>
            <w:shd w:val="clear" w:color="auto" w:fill="FFFFFF"/>
            <w:vAlign w:val="center"/>
          </w:tcPr>
          <w:p w14:paraId="2C6967FA">
            <w:pPr>
              <w:pStyle w:val="2"/>
              <w:widowControl w:val="0"/>
              <w:spacing w:before="166"/>
              <w:ind w:right="153"/>
              <w:jc w:val="center"/>
              <w:rPr>
                <w:rFonts w:hint="eastAsia"/>
                <w:sz w:val="21"/>
                <w:szCs w:val="21"/>
                <w:lang w:eastAsia="zh-CN"/>
              </w:rPr>
            </w:pPr>
            <w:r>
              <w:rPr>
                <w:rFonts w:hint="eastAsia"/>
                <w:sz w:val="21"/>
                <w:szCs w:val="21"/>
                <w:lang w:eastAsia="zh-CN"/>
              </w:rPr>
              <w:t>4</w:t>
            </w:r>
          </w:p>
        </w:tc>
        <w:tc>
          <w:tcPr>
            <w:tcW w:w="889" w:type="dxa"/>
            <w:tcBorders>
              <w:top w:val="single" w:color="auto" w:sz="4" w:space="0"/>
              <w:left w:val="single" w:color="auto" w:sz="4" w:space="0"/>
              <w:bottom w:val="single" w:color="auto" w:sz="4" w:space="0"/>
              <w:right w:val="single" w:color="auto" w:sz="4" w:space="0"/>
            </w:tcBorders>
            <w:shd w:val="clear" w:color="auto" w:fill="FFFFFF"/>
            <w:vAlign w:val="center"/>
          </w:tcPr>
          <w:p w14:paraId="62C6B01E">
            <w:pPr>
              <w:pStyle w:val="2"/>
              <w:widowControl w:val="0"/>
              <w:spacing w:before="166"/>
              <w:ind w:right="153"/>
              <w:jc w:val="center"/>
              <w:rPr>
                <w:rFonts w:hint="eastAsia"/>
                <w:sz w:val="21"/>
                <w:szCs w:val="21"/>
              </w:rPr>
            </w:pPr>
          </w:p>
        </w:tc>
        <w:tc>
          <w:tcPr>
            <w:tcW w:w="275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B5F67FB">
            <w:pPr>
              <w:pStyle w:val="2"/>
              <w:widowControl w:val="0"/>
              <w:spacing w:before="166"/>
              <w:ind w:right="153"/>
              <w:jc w:val="both"/>
              <w:rPr>
                <w:rFonts w:hint="eastAsia"/>
                <w:spacing w:val="7"/>
                <w:sz w:val="21"/>
                <w:szCs w:val="21"/>
                <w:lang w:eastAsia="zh-CN"/>
              </w:rPr>
            </w:pPr>
            <w:r>
              <w:rPr>
                <w:spacing w:val="9"/>
                <w:sz w:val="21"/>
                <w:szCs w:val="21"/>
                <w:lang w:eastAsia="zh-CN"/>
              </w:rPr>
              <w:t>课题以研究</w:t>
            </w:r>
            <w:r>
              <w:rPr>
                <w:spacing w:val="8"/>
                <w:sz w:val="21"/>
                <w:szCs w:val="21"/>
                <w:lang w:eastAsia="zh-CN"/>
              </w:rPr>
              <w:t>生院网站</w:t>
            </w:r>
            <w:r>
              <w:rPr>
                <w:spacing w:val="7"/>
                <w:sz w:val="21"/>
                <w:szCs w:val="21"/>
                <w:lang w:eastAsia="zh-CN"/>
              </w:rPr>
              <w:t>公示的申请人为加分对象</w:t>
            </w:r>
            <w:r>
              <w:rPr>
                <w:rFonts w:hint="eastAsia"/>
                <w:spacing w:val="7"/>
                <w:sz w:val="21"/>
                <w:szCs w:val="21"/>
                <w:lang w:eastAsia="zh-CN"/>
              </w:rPr>
              <w:t>（</w:t>
            </w:r>
            <w:r>
              <w:rPr>
                <w:spacing w:val="9"/>
                <w:sz w:val="21"/>
                <w:szCs w:val="21"/>
                <w:lang w:eastAsia="zh-CN"/>
              </w:rPr>
              <w:t>论坛的等级参照科技处印发的</w:t>
            </w:r>
            <w:r>
              <w:rPr>
                <w:rFonts w:hint="eastAsia"/>
                <w:spacing w:val="9"/>
                <w:sz w:val="21"/>
                <w:szCs w:val="21"/>
                <w:lang w:eastAsia="zh-CN"/>
              </w:rPr>
              <w:t>有关</w:t>
            </w:r>
            <w:r>
              <w:rPr>
                <w:spacing w:val="9"/>
                <w:sz w:val="21"/>
                <w:szCs w:val="21"/>
                <w:lang w:eastAsia="zh-CN"/>
              </w:rPr>
              <w:t>上海海事大学科研管理制度</w:t>
            </w:r>
            <w:r>
              <w:rPr>
                <w:rFonts w:hint="eastAsia"/>
                <w:spacing w:val="9"/>
                <w:sz w:val="21"/>
                <w:szCs w:val="21"/>
                <w:lang w:eastAsia="zh-CN"/>
              </w:rPr>
              <w:t>相关</w:t>
            </w:r>
            <w:r>
              <w:rPr>
                <w:spacing w:val="1"/>
                <w:sz w:val="21"/>
                <w:szCs w:val="21"/>
                <w:lang w:eastAsia="zh-CN"/>
              </w:rPr>
              <w:t>文件</w:t>
            </w:r>
            <w:r>
              <w:rPr>
                <w:rFonts w:hint="eastAsia"/>
                <w:spacing w:val="1"/>
                <w:sz w:val="21"/>
                <w:szCs w:val="21"/>
                <w:lang w:eastAsia="zh-CN"/>
              </w:rPr>
              <w:t>）</w:t>
            </w:r>
          </w:p>
        </w:tc>
      </w:tr>
      <w:tr w14:paraId="4175E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8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30DAEC0">
            <w:pPr>
              <w:pStyle w:val="2"/>
              <w:widowControl w:val="0"/>
              <w:spacing w:before="166"/>
              <w:ind w:right="153"/>
              <w:jc w:val="center"/>
              <w:rPr>
                <w:rFonts w:hint="eastAsia"/>
                <w:spacing w:val="7"/>
                <w:sz w:val="21"/>
                <w:szCs w:val="21"/>
                <w:lang w:eastAsia="zh-CN"/>
              </w:rPr>
            </w:pPr>
          </w:p>
        </w:tc>
        <w:tc>
          <w:tcPr>
            <w:tcW w:w="2640" w:type="dxa"/>
            <w:tcBorders>
              <w:top w:val="single" w:color="auto" w:sz="4" w:space="0"/>
              <w:left w:val="single" w:color="auto" w:sz="4" w:space="0"/>
              <w:bottom w:val="single" w:color="auto" w:sz="4" w:space="0"/>
              <w:right w:val="single" w:color="auto" w:sz="4" w:space="0"/>
            </w:tcBorders>
            <w:shd w:val="clear" w:color="auto" w:fill="FFFFFF"/>
            <w:vAlign w:val="center"/>
          </w:tcPr>
          <w:p w14:paraId="5EF5D3B7">
            <w:pPr>
              <w:pStyle w:val="2"/>
              <w:widowControl w:val="0"/>
              <w:spacing w:before="166"/>
              <w:ind w:right="153"/>
              <w:jc w:val="center"/>
              <w:rPr>
                <w:rFonts w:hint="eastAsia"/>
                <w:spacing w:val="7"/>
                <w:sz w:val="21"/>
                <w:szCs w:val="21"/>
                <w:lang w:eastAsia="zh-CN"/>
              </w:rPr>
            </w:pPr>
            <w:r>
              <w:rPr>
                <w:spacing w:val="7"/>
                <w:sz w:val="21"/>
                <w:szCs w:val="21"/>
                <w:lang w:eastAsia="zh-CN"/>
              </w:rPr>
              <w:t>上海海事大学研究生学术新人培育计划项目</w:t>
            </w:r>
          </w:p>
        </w:tc>
        <w:tc>
          <w:tcPr>
            <w:tcW w:w="1087" w:type="dxa"/>
            <w:tcBorders>
              <w:top w:val="single" w:color="auto" w:sz="4" w:space="0"/>
              <w:left w:val="single" w:color="auto" w:sz="4" w:space="0"/>
              <w:bottom w:val="single" w:color="auto" w:sz="4" w:space="0"/>
              <w:right w:val="single" w:color="auto" w:sz="4" w:space="0"/>
            </w:tcBorders>
            <w:shd w:val="clear" w:color="auto" w:fill="FFFFFF"/>
            <w:vAlign w:val="center"/>
          </w:tcPr>
          <w:p w14:paraId="17C7F6C3">
            <w:pPr>
              <w:pStyle w:val="2"/>
              <w:widowControl w:val="0"/>
              <w:spacing w:before="166"/>
              <w:ind w:right="153"/>
              <w:jc w:val="center"/>
              <w:rPr>
                <w:rFonts w:hint="eastAsia"/>
                <w:spacing w:val="7"/>
                <w:sz w:val="21"/>
                <w:szCs w:val="21"/>
                <w:lang w:eastAsia="zh-CN"/>
              </w:rPr>
            </w:pPr>
          </w:p>
        </w:tc>
        <w:tc>
          <w:tcPr>
            <w:tcW w:w="904" w:type="dxa"/>
            <w:tcBorders>
              <w:top w:val="single" w:color="auto" w:sz="4" w:space="0"/>
              <w:left w:val="single" w:color="auto" w:sz="4" w:space="0"/>
              <w:bottom w:val="single" w:color="auto" w:sz="4" w:space="0"/>
              <w:right w:val="single" w:color="auto" w:sz="4" w:space="0"/>
            </w:tcBorders>
            <w:shd w:val="clear" w:color="auto" w:fill="FFFFFF"/>
            <w:vAlign w:val="center"/>
          </w:tcPr>
          <w:p w14:paraId="6D52642A">
            <w:pPr>
              <w:pStyle w:val="2"/>
              <w:widowControl w:val="0"/>
              <w:spacing w:before="166"/>
              <w:ind w:right="153"/>
              <w:jc w:val="center"/>
              <w:rPr>
                <w:rFonts w:hint="eastAsia"/>
                <w:spacing w:val="7"/>
                <w:sz w:val="21"/>
                <w:szCs w:val="21"/>
                <w:lang w:eastAsia="zh-CN"/>
              </w:rPr>
            </w:pPr>
            <w:r>
              <w:rPr>
                <w:rFonts w:hint="eastAsia"/>
                <w:spacing w:val="7"/>
                <w:sz w:val="21"/>
                <w:szCs w:val="21"/>
                <w:lang w:eastAsia="zh-CN"/>
              </w:rPr>
              <w:t>4</w:t>
            </w:r>
          </w:p>
        </w:tc>
        <w:tc>
          <w:tcPr>
            <w:tcW w:w="889" w:type="dxa"/>
            <w:tcBorders>
              <w:top w:val="single" w:color="auto" w:sz="4" w:space="0"/>
              <w:left w:val="single" w:color="auto" w:sz="4" w:space="0"/>
              <w:bottom w:val="single" w:color="auto" w:sz="4" w:space="0"/>
              <w:right w:val="single" w:color="auto" w:sz="4" w:space="0"/>
            </w:tcBorders>
            <w:shd w:val="clear" w:color="auto" w:fill="FFFFFF"/>
            <w:vAlign w:val="center"/>
          </w:tcPr>
          <w:p w14:paraId="0CD98A7C">
            <w:pPr>
              <w:pStyle w:val="2"/>
              <w:widowControl w:val="0"/>
              <w:spacing w:before="166"/>
              <w:ind w:right="153"/>
              <w:jc w:val="center"/>
              <w:rPr>
                <w:rFonts w:hint="eastAsia"/>
                <w:sz w:val="21"/>
                <w:szCs w:val="21"/>
              </w:rPr>
            </w:pPr>
          </w:p>
        </w:tc>
        <w:tc>
          <w:tcPr>
            <w:tcW w:w="275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0A267D4">
            <w:pPr>
              <w:pStyle w:val="2"/>
              <w:widowControl w:val="0"/>
              <w:spacing w:before="166"/>
              <w:ind w:right="153"/>
              <w:jc w:val="center"/>
              <w:rPr>
                <w:rFonts w:hint="eastAsia"/>
                <w:sz w:val="21"/>
                <w:szCs w:val="21"/>
              </w:rPr>
            </w:pPr>
          </w:p>
        </w:tc>
      </w:tr>
      <w:tr w14:paraId="35EF2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8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4123A05">
            <w:pPr>
              <w:pStyle w:val="2"/>
              <w:widowControl w:val="0"/>
              <w:spacing w:before="166"/>
              <w:ind w:right="153"/>
              <w:jc w:val="center"/>
              <w:rPr>
                <w:rFonts w:hint="eastAsia"/>
                <w:spacing w:val="7"/>
                <w:sz w:val="21"/>
                <w:szCs w:val="21"/>
                <w:lang w:eastAsia="zh-CN"/>
              </w:rPr>
            </w:pPr>
            <w:r>
              <w:rPr>
                <w:rFonts w:hint="eastAsia"/>
                <w:spacing w:val="7"/>
                <w:sz w:val="21"/>
                <w:szCs w:val="21"/>
                <w:lang w:eastAsia="zh-CN"/>
              </w:rPr>
              <w:t>论坛</w:t>
            </w:r>
          </w:p>
        </w:tc>
        <w:tc>
          <w:tcPr>
            <w:tcW w:w="264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A48B8EB">
            <w:pPr>
              <w:pStyle w:val="2"/>
              <w:widowControl w:val="0"/>
              <w:spacing w:before="166"/>
              <w:ind w:right="153"/>
              <w:jc w:val="center"/>
              <w:rPr>
                <w:rFonts w:hint="eastAsia"/>
                <w:spacing w:val="7"/>
                <w:sz w:val="21"/>
                <w:szCs w:val="21"/>
              </w:rPr>
            </w:pPr>
            <w:r>
              <w:rPr>
                <w:spacing w:val="7"/>
                <w:sz w:val="21"/>
                <w:szCs w:val="21"/>
              </w:rPr>
              <w:t>学术论坛（沙龙）</w:t>
            </w:r>
          </w:p>
        </w:tc>
        <w:tc>
          <w:tcPr>
            <w:tcW w:w="1087" w:type="dxa"/>
            <w:tcBorders>
              <w:top w:val="single" w:color="auto" w:sz="4" w:space="0"/>
              <w:left w:val="single" w:color="auto" w:sz="4" w:space="0"/>
              <w:bottom w:val="single" w:color="auto" w:sz="4" w:space="0"/>
              <w:right w:val="single" w:color="auto" w:sz="4" w:space="0"/>
            </w:tcBorders>
            <w:shd w:val="clear" w:color="auto" w:fill="FFFFFF"/>
            <w:vAlign w:val="center"/>
          </w:tcPr>
          <w:p w14:paraId="42EAE6D0">
            <w:pPr>
              <w:pStyle w:val="2"/>
              <w:widowControl w:val="0"/>
              <w:spacing w:before="166"/>
              <w:ind w:right="153"/>
              <w:jc w:val="center"/>
              <w:rPr>
                <w:rFonts w:hint="eastAsia"/>
                <w:spacing w:val="7"/>
                <w:sz w:val="21"/>
                <w:szCs w:val="21"/>
                <w:lang w:eastAsia="zh-CN"/>
              </w:rPr>
            </w:pPr>
            <w:r>
              <w:rPr>
                <w:rFonts w:hint="eastAsia"/>
                <w:spacing w:val="7"/>
                <w:sz w:val="21"/>
                <w:szCs w:val="21"/>
                <w:lang w:eastAsia="zh-CN"/>
              </w:rPr>
              <w:t>国家级</w:t>
            </w:r>
          </w:p>
        </w:tc>
        <w:tc>
          <w:tcPr>
            <w:tcW w:w="904" w:type="dxa"/>
            <w:tcBorders>
              <w:top w:val="single" w:color="auto" w:sz="4" w:space="0"/>
              <w:left w:val="single" w:color="auto" w:sz="4" w:space="0"/>
              <w:bottom w:val="single" w:color="auto" w:sz="4" w:space="0"/>
              <w:right w:val="single" w:color="auto" w:sz="4" w:space="0"/>
            </w:tcBorders>
            <w:shd w:val="clear" w:color="auto" w:fill="FFFFFF"/>
            <w:vAlign w:val="center"/>
          </w:tcPr>
          <w:p w14:paraId="48A5926D">
            <w:pPr>
              <w:pStyle w:val="2"/>
              <w:widowControl w:val="0"/>
              <w:spacing w:before="166"/>
              <w:ind w:right="153"/>
              <w:jc w:val="center"/>
              <w:rPr>
                <w:rFonts w:hint="eastAsia"/>
                <w:spacing w:val="7"/>
                <w:sz w:val="21"/>
                <w:szCs w:val="21"/>
                <w:lang w:eastAsia="zh-CN"/>
              </w:rPr>
            </w:pPr>
            <w:r>
              <w:rPr>
                <w:rFonts w:hint="eastAsia"/>
                <w:spacing w:val="7"/>
                <w:sz w:val="21"/>
                <w:szCs w:val="21"/>
                <w:lang w:eastAsia="zh-CN"/>
              </w:rPr>
              <w:t>2-6</w:t>
            </w:r>
          </w:p>
        </w:tc>
        <w:tc>
          <w:tcPr>
            <w:tcW w:w="88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2EF49C6">
            <w:pPr>
              <w:pStyle w:val="2"/>
              <w:widowControl w:val="0"/>
              <w:spacing w:before="166"/>
              <w:ind w:right="153"/>
              <w:jc w:val="center"/>
              <w:rPr>
                <w:rFonts w:hint="eastAsia"/>
                <w:sz w:val="21"/>
                <w:szCs w:val="21"/>
                <w:lang w:eastAsia="zh-CN"/>
              </w:rPr>
            </w:pPr>
          </w:p>
        </w:tc>
        <w:tc>
          <w:tcPr>
            <w:tcW w:w="275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0EDF32C">
            <w:pPr>
              <w:pStyle w:val="2"/>
              <w:widowControl w:val="0"/>
              <w:spacing w:before="166"/>
              <w:ind w:right="153"/>
              <w:jc w:val="both"/>
              <w:rPr>
                <w:rFonts w:hint="eastAsia"/>
                <w:spacing w:val="9"/>
                <w:sz w:val="21"/>
                <w:szCs w:val="21"/>
                <w:lang w:eastAsia="zh-CN"/>
              </w:rPr>
            </w:pPr>
            <w:r>
              <w:rPr>
                <w:rFonts w:hint="eastAsia"/>
                <w:spacing w:val="9"/>
                <w:sz w:val="21"/>
                <w:szCs w:val="21"/>
                <w:lang w:eastAsia="zh-CN"/>
              </w:rPr>
              <w:t>根据</w:t>
            </w:r>
            <w:r>
              <w:rPr>
                <w:spacing w:val="9"/>
                <w:sz w:val="21"/>
                <w:szCs w:val="21"/>
                <w:lang w:eastAsia="zh-CN"/>
              </w:rPr>
              <w:t>具体奖项等级以及学术论坛规模予以加分</w:t>
            </w:r>
            <w:r>
              <w:rPr>
                <w:rFonts w:hint="eastAsia"/>
                <w:spacing w:val="9"/>
                <w:sz w:val="21"/>
                <w:szCs w:val="21"/>
                <w:lang w:eastAsia="zh-CN"/>
              </w:rPr>
              <w:t>国家级：</w:t>
            </w:r>
          </w:p>
          <w:p w14:paraId="439681FA">
            <w:pPr>
              <w:pStyle w:val="2"/>
              <w:widowControl w:val="0"/>
              <w:spacing w:before="166"/>
              <w:ind w:right="153"/>
              <w:jc w:val="both"/>
              <w:rPr>
                <w:rFonts w:hint="eastAsia"/>
                <w:spacing w:val="9"/>
                <w:sz w:val="21"/>
                <w:szCs w:val="21"/>
                <w:lang w:eastAsia="zh-CN"/>
              </w:rPr>
            </w:pPr>
            <w:r>
              <w:rPr>
                <w:rFonts w:hint="eastAsia"/>
                <w:spacing w:val="9"/>
                <w:sz w:val="21"/>
                <w:szCs w:val="21"/>
                <w:lang w:eastAsia="zh-CN"/>
              </w:rPr>
              <w:t>一等奖6分、二等奖5分三等奖4分、优秀奖2分</w:t>
            </w:r>
          </w:p>
          <w:p w14:paraId="000526FF">
            <w:pPr>
              <w:pStyle w:val="2"/>
              <w:widowControl w:val="0"/>
              <w:spacing w:before="166"/>
              <w:ind w:right="153"/>
              <w:jc w:val="both"/>
              <w:rPr>
                <w:rFonts w:hint="eastAsia"/>
                <w:spacing w:val="9"/>
                <w:sz w:val="21"/>
                <w:szCs w:val="21"/>
                <w:lang w:eastAsia="zh-CN"/>
              </w:rPr>
            </w:pPr>
            <w:r>
              <w:rPr>
                <w:rFonts w:hint="eastAsia"/>
                <w:spacing w:val="9"/>
                <w:sz w:val="21"/>
                <w:szCs w:val="21"/>
                <w:lang w:eastAsia="zh-CN"/>
              </w:rPr>
              <w:t>省部级：</w:t>
            </w:r>
          </w:p>
          <w:p w14:paraId="60B5B50A">
            <w:pPr>
              <w:pStyle w:val="2"/>
              <w:widowControl w:val="0"/>
              <w:spacing w:before="166"/>
              <w:ind w:right="153"/>
              <w:jc w:val="both"/>
              <w:rPr>
                <w:rFonts w:hint="eastAsia"/>
                <w:spacing w:val="9"/>
                <w:sz w:val="21"/>
                <w:szCs w:val="21"/>
                <w:lang w:eastAsia="zh-CN"/>
              </w:rPr>
            </w:pPr>
            <w:r>
              <w:rPr>
                <w:rFonts w:hint="eastAsia"/>
                <w:spacing w:val="9"/>
                <w:sz w:val="21"/>
                <w:szCs w:val="21"/>
                <w:lang w:eastAsia="zh-CN"/>
              </w:rPr>
              <w:t>一等奖4分、二等奖3分三等奖2分、优秀奖1分</w:t>
            </w:r>
          </w:p>
        </w:tc>
      </w:tr>
      <w:tr w14:paraId="23DF1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2CB9CFD">
            <w:pPr>
              <w:pStyle w:val="2"/>
              <w:widowControl w:val="0"/>
              <w:spacing w:before="166"/>
              <w:ind w:right="153"/>
              <w:jc w:val="center"/>
              <w:rPr>
                <w:rFonts w:hint="eastAsia"/>
                <w:lang w:eastAsia="zh-CN"/>
              </w:rPr>
            </w:pPr>
          </w:p>
        </w:tc>
        <w:tc>
          <w:tcPr>
            <w:tcW w:w="26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8526BED">
            <w:pPr>
              <w:pStyle w:val="2"/>
              <w:widowControl w:val="0"/>
              <w:spacing w:before="166"/>
              <w:ind w:right="153"/>
              <w:jc w:val="center"/>
              <w:rPr>
                <w:rFonts w:hint="eastAsia"/>
                <w:lang w:eastAsia="zh-CN"/>
              </w:rPr>
            </w:pPr>
          </w:p>
        </w:tc>
        <w:tc>
          <w:tcPr>
            <w:tcW w:w="1087" w:type="dxa"/>
            <w:tcBorders>
              <w:top w:val="single" w:color="auto" w:sz="4" w:space="0"/>
              <w:left w:val="single" w:color="auto" w:sz="4" w:space="0"/>
              <w:bottom w:val="single" w:color="auto" w:sz="4" w:space="0"/>
              <w:right w:val="single" w:color="auto" w:sz="4" w:space="0"/>
            </w:tcBorders>
            <w:shd w:val="clear" w:color="auto" w:fill="FFFFFF"/>
            <w:vAlign w:val="center"/>
          </w:tcPr>
          <w:p w14:paraId="1D035105">
            <w:pPr>
              <w:pStyle w:val="2"/>
              <w:widowControl w:val="0"/>
              <w:spacing w:before="166"/>
              <w:ind w:right="153"/>
              <w:jc w:val="center"/>
              <w:rPr>
                <w:rFonts w:hint="eastAsia"/>
                <w:spacing w:val="7"/>
                <w:sz w:val="21"/>
                <w:szCs w:val="21"/>
                <w:lang w:eastAsia="zh-CN"/>
              </w:rPr>
            </w:pPr>
            <w:r>
              <w:rPr>
                <w:rFonts w:hint="eastAsia"/>
                <w:spacing w:val="7"/>
                <w:sz w:val="21"/>
                <w:szCs w:val="21"/>
                <w:lang w:eastAsia="zh-CN"/>
              </w:rPr>
              <w:t>省部级</w:t>
            </w:r>
          </w:p>
        </w:tc>
        <w:tc>
          <w:tcPr>
            <w:tcW w:w="904" w:type="dxa"/>
            <w:tcBorders>
              <w:top w:val="single" w:color="auto" w:sz="4" w:space="0"/>
              <w:left w:val="single" w:color="auto" w:sz="4" w:space="0"/>
              <w:bottom w:val="single" w:color="auto" w:sz="4" w:space="0"/>
              <w:right w:val="single" w:color="auto" w:sz="4" w:space="0"/>
            </w:tcBorders>
            <w:shd w:val="clear" w:color="auto" w:fill="FFFFFF"/>
            <w:vAlign w:val="center"/>
          </w:tcPr>
          <w:p w14:paraId="2347F234">
            <w:pPr>
              <w:pStyle w:val="2"/>
              <w:widowControl w:val="0"/>
              <w:spacing w:before="166"/>
              <w:ind w:right="153"/>
              <w:jc w:val="center"/>
              <w:rPr>
                <w:rFonts w:hint="eastAsia"/>
                <w:spacing w:val="7"/>
                <w:sz w:val="21"/>
                <w:szCs w:val="21"/>
                <w:lang w:eastAsia="zh-CN"/>
              </w:rPr>
            </w:pPr>
            <w:r>
              <w:rPr>
                <w:rFonts w:hint="eastAsia"/>
                <w:spacing w:val="7"/>
                <w:sz w:val="21"/>
                <w:szCs w:val="21"/>
                <w:lang w:eastAsia="zh-CN"/>
              </w:rPr>
              <w:t>1-4</w:t>
            </w:r>
          </w:p>
        </w:tc>
        <w:tc>
          <w:tcPr>
            <w:tcW w:w="88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A237003">
            <w:pPr>
              <w:pStyle w:val="2"/>
              <w:widowControl w:val="0"/>
              <w:spacing w:before="166"/>
              <w:ind w:right="153"/>
              <w:jc w:val="center"/>
              <w:rPr>
                <w:rFonts w:hint="eastAsia"/>
                <w:spacing w:val="7"/>
                <w:sz w:val="21"/>
                <w:szCs w:val="21"/>
                <w:lang w:eastAsia="zh-CN"/>
              </w:rPr>
            </w:pPr>
          </w:p>
        </w:tc>
        <w:tc>
          <w:tcPr>
            <w:tcW w:w="275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C8CE2A1">
            <w:pPr>
              <w:pStyle w:val="2"/>
              <w:widowControl w:val="0"/>
              <w:spacing w:before="166"/>
              <w:ind w:right="153"/>
              <w:jc w:val="center"/>
              <w:rPr>
                <w:rFonts w:hint="eastAsia"/>
                <w:spacing w:val="7"/>
                <w:sz w:val="21"/>
                <w:szCs w:val="21"/>
                <w:lang w:eastAsia="zh-CN"/>
              </w:rPr>
            </w:pPr>
          </w:p>
        </w:tc>
      </w:tr>
      <w:tr w14:paraId="717D9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049AA1E">
            <w:pPr>
              <w:pStyle w:val="2"/>
              <w:widowControl w:val="0"/>
              <w:spacing w:before="166"/>
              <w:ind w:right="153"/>
              <w:jc w:val="center"/>
              <w:rPr>
                <w:rFonts w:hint="eastAsia"/>
                <w:spacing w:val="7"/>
                <w:sz w:val="21"/>
                <w:szCs w:val="21"/>
              </w:rPr>
            </w:pPr>
          </w:p>
        </w:tc>
        <w:tc>
          <w:tcPr>
            <w:tcW w:w="2640" w:type="dxa"/>
            <w:tcBorders>
              <w:top w:val="single" w:color="auto" w:sz="4" w:space="0"/>
              <w:left w:val="single" w:color="auto" w:sz="4" w:space="0"/>
              <w:bottom w:val="single" w:color="auto" w:sz="4" w:space="0"/>
              <w:right w:val="single" w:color="auto" w:sz="4" w:space="0"/>
            </w:tcBorders>
            <w:shd w:val="clear" w:color="auto" w:fill="FFFFFF"/>
            <w:vAlign w:val="center"/>
          </w:tcPr>
          <w:p w14:paraId="65102513">
            <w:pPr>
              <w:pStyle w:val="2"/>
              <w:widowControl w:val="0"/>
              <w:spacing w:before="166"/>
              <w:ind w:right="153"/>
              <w:jc w:val="center"/>
              <w:rPr>
                <w:rFonts w:hint="eastAsia"/>
                <w:spacing w:val="7"/>
                <w:sz w:val="21"/>
                <w:szCs w:val="21"/>
              </w:rPr>
            </w:pPr>
            <w:r>
              <w:rPr>
                <w:spacing w:val="7"/>
                <w:sz w:val="21"/>
                <w:szCs w:val="21"/>
              </w:rPr>
              <w:t>学术会议投稿</w:t>
            </w:r>
          </w:p>
        </w:tc>
        <w:tc>
          <w:tcPr>
            <w:tcW w:w="1087" w:type="dxa"/>
            <w:tcBorders>
              <w:top w:val="single" w:color="auto" w:sz="4" w:space="0"/>
              <w:left w:val="single" w:color="auto" w:sz="4" w:space="0"/>
              <w:bottom w:val="single" w:color="auto" w:sz="4" w:space="0"/>
              <w:right w:val="single" w:color="auto" w:sz="4" w:space="0"/>
            </w:tcBorders>
            <w:shd w:val="clear" w:color="auto" w:fill="FFFFFF"/>
            <w:vAlign w:val="center"/>
          </w:tcPr>
          <w:p w14:paraId="376B447C">
            <w:pPr>
              <w:pStyle w:val="2"/>
              <w:widowControl w:val="0"/>
              <w:spacing w:before="166"/>
              <w:ind w:right="153"/>
              <w:jc w:val="center"/>
              <w:rPr>
                <w:rFonts w:hint="eastAsia"/>
                <w:spacing w:val="7"/>
                <w:sz w:val="21"/>
                <w:szCs w:val="21"/>
                <w:lang w:eastAsia="zh-CN"/>
              </w:rPr>
            </w:pPr>
          </w:p>
        </w:tc>
        <w:tc>
          <w:tcPr>
            <w:tcW w:w="904" w:type="dxa"/>
            <w:tcBorders>
              <w:top w:val="single" w:color="auto" w:sz="4" w:space="0"/>
              <w:left w:val="single" w:color="auto" w:sz="4" w:space="0"/>
              <w:bottom w:val="single" w:color="auto" w:sz="4" w:space="0"/>
              <w:right w:val="single" w:color="auto" w:sz="4" w:space="0"/>
            </w:tcBorders>
            <w:shd w:val="clear" w:color="auto" w:fill="FFFFFF"/>
            <w:vAlign w:val="center"/>
          </w:tcPr>
          <w:p w14:paraId="292F292E">
            <w:pPr>
              <w:pStyle w:val="2"/>
              <w:widowControl w:val="0"/>
              <w:spacing w:before="166"/>
              <w:ind w:right="153"/>
              <w:jc w:val="center"/>
              <w:rPr>
                <w:rFonts w:hint="eastAsia"/>
                <w:spacing w:val="7"/>
                <w:sz w:val="21"/>
                <w:szCs w:val="21"/>
                <w:lang w:eastAsia="zh-CN"/>
              </w:rPr>
            </w:pPr>
            <w:r>
              <w:rPr>
                <w:rFonts w:hint="eastAsia"/>
                <w:spacing w:val="7"/>
                <w:sz w:val="21"/>
                <w:szCs w:val="21"/>
                <w:lang w:eastAsia="zh-CN"/>
              </w:rPr>
              <w:t>2</w:t>
            </w:r>
          </w:p>
        </w:tc>
        <w:tc>
          <w:tcPr>
            <w:tcW w:w="889" w:type="dxa"/>
            <w:tcBorders>
              <w:top w:val="single" w:color="auto" w:sz="4" w:space="0"/>
              <w:left w:val="single" w:color="auto" w:sz="4" w:space="0"/>
              <w:bottom w:val="single" w:color="auto" w:sz="4" w:space="0"/>
              <w:right w:val="single" w:color="auto" w:sz="4" w:space="0"/>
            </w:tcBorders>
            <w:shd w:val="clear" w:color="auto" w:fill="FFFFFF"/>
            <w:vAlign w:val="center"/>
          </w:tcPr>
          <w:p w14:paraId="114BA547">
            <w:pPr>
              <w:pStyle w:val="2"/>
              <w:widowControl w:val="0"/>
              <w:spacing w:before="166"/>
              <w:ind w:right="153"/>
              <w:jc w:val="center"/>
              <w:rPr>
                <w:rFonts w:hint="eastAsia"/>
                <w:sz w:val="21"/>
                <w:szCs w:val="21"/>
                <w:lang w:eastAsia="zh-CN"/>
              </w:rPr>
            </w:pPr>
            <w:r>
              <w:rPr>
                <w:rFonts w:hint="eastAsia"/>
                <w:spacing w:val="9"/>
                <w:sz w:val="21"/>
                <w:szCs w:val="21"/>
                <w:lang w:eastAsia="zh-CN"/>
              </w:rPr>
              <w:t>一篇封顶</w:t>
            </w:r>
          </w:p>
        </w:tc>
        <w:tc>
          <w:tcPr>
            <w:tcW w:w="2753" w:type="dxa"/>
            <w:tcBorders>
              <w:top w:val="single" w:color="auto" w:sz="4" w:space="0"/>
              <w:left w:val="single" w:color="auto" w:sz="4" w:space="0"/>
              <w:bottom w:val="single" w:color="auto" w:sz="4" w:space="0"/>
              <w:right w:val="single" w:color="auto" w:sz="4" w:space="0"/>
            </w:tcBorders>
            <w:shd w:val="clear" w:color="auto" w:fill="FFFFFF"/>
            <w:vAlign w:val="center"/>
          </w:tcPr>
          <w:p w14:paraId="1E1046EC">
            <w:pPr>
              <w:pStyle w:val="2"/>
              <w:widowControl w:val="0"/>
              <w:spacing w:before="166"/>
              <w:ind w:right="153"/>
              <w:jc w:val="center"/>
              <w:rPr>
                <w:rFonts w:hint="eastAsia"/>
                <w:sz w:val="21"/>
                <w:szCs w:val="21"/>
                <w:lang w:eastAsia="zh-CN"/>
              </w:rPr>
            </w:pPr>
            <w:r>
              <w:rPr>
                <w:rFonts w:hint="eastAsia"/>
                <w:sz w:val="21"/>
                <w:szCs w:val="21"/>
                <w:lang w:eastAsia="zh-CN"/>
              </w:rPr>
              <w:t>投稿论文须被收录到论文集</w:t>
            </w:r>
          </w:p>
        </w:tc>
      </w:tr>
      <w:tr w14:paraId="26BE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7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97FCA04">
            <w:pPr>
              <w:pStyle w:val="2"/>
              <w:widowControl w:val="0"/>
              <w:spacing w:before="166"/>
              <w:ind w:right="153"/>
              <w:jc w:val="center"/>
              <w:rPr>
                <w:rFonts w:hint="eastAsia"/>
                <w:spacing w:val="7"/>
                <w:sz w:val="21"/>
                <w:szCs w:val="21"/>
                <w:lang w:eastAsia="zh-CN"/>
              </w:rPr>
            </w:pPr>
            <w:r>
              <w:rPr>
                <w:rFonts w:hint="eastAsia"/>
                <w:spacing w:val="7"/>
                <w:sz w:val="21"/>
                <w:szCs w:val="21"/>
                <w:lang w:eastAsia="zh-CN"/>
              </w:rPr>
              <w:t>比赛</w:t>
            </w:r>
          </w:p>
        </w:tc>
        <w:tc>
          <w:tcPr>
            <w:tcW w:w="264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675E960">
            <w:pPr>
              <w:pStyle w:val="2"/>
              <w:widowControl w:val="0"/>
              <w:spacing w:before="166"/>
              <w:ind w:right="153"/>
              <w:jc w:val="center"/>
              <w:rPr>
                <w:rFonts w:hint="eastAsia"/>
                <w:spacing w:val="7"/>
                <w:sz w:val="21"/>
                <w:szCs w:val="21"/>
                <w:lang w:eastAsia="zh-CN"/>
              </w:rPr>
            </w:pPr>
            <w:r>
              <w:rPr>
                <w:spacing w:val="7"/>
                <w:sz w:val="21"/>
                <w:szCs w:val="21"/>
                <w:lang w:eastAsia="zh-CN"/>
              </w:rPr>
              <w:t>JESSUP 模拟法庭</w:t>
            </w:r>
            <w:r>
              <w:rPr>
                <w:rFonts w:hint="eastAsia"/>
                <w:spacing w:val="7"/>
                <w:sz w:val="21"/>
                <w:szCs w:val="21"/>
                <w:lang w:eastAsia="zh-CN"/>
              </w:rPr>
              <w:t>、</w:t>
            </w:r>
            <w:r>
              <w:rPr>
                <w:spacing w:val="7"/>
                <w:sz w:val="21"/>
                <w:szCs w:val="21"/>
                <w:lang w:eastAsia="zh-CN"/>
              </w:rPr>
              <w:t>“贸仲杯”</w:t>
            </w:r>
            <w:r>
              <w:rPr>
                <w:rFonts w:hint="eastAsia"/>
                <w:spacing w:val="7"/>
                <w:sz w:val="21"/>
                <w:szCs w:val="21"/>
                <w:lang w:eastAsia="zh-CN"/>
              </w:rPr>
              <w:t>、海洋法国际模拟法庭等</w:t>
            </w:r>
            <w:r>
              <w:rPr>
                <w:spacing w:val="7"/>
                <w:sz w:val="21"/>
                <w:szCs w:val="21"/>
                <w:lang w:eastAsia="zh-CN"/>
              </w:rPr>
              <w:t>比赛</w:t>
            </w:r>
          </w:p>
        </w:tc>
        <w:tc>
          <w:tcPr>
            <w:tcW w:w="1087" w:type="dxa"/>
            <w:tcBorders>
              <w:top w:val="single" w:color="auto" w:sz="4" w:space="0"/>
              <w:left w:val="single" w:color="auto" w:sz="4" w:space="0"/>
              <w:bottom w:val="single" w:color="auto" w:sz="4" w:space="0"/>
              <w:right w:val="single" w:color="auto" w:sz="4" w:space="0"/>
            </w:tcBorders>
            <w:shd w:val="clear" w:color="auto" w:fill="FFFFFF"/>
            <w:vAlign w:val="center"/>
          </w:tcPr>
          <w:p w14:paraId="6486CD55">
            <w:pPr>
              <w:pStyle w:val="2"/>
              <w:widowControl w:val="0"/>
              <w:spacing w:before="166"/>
              <w:ind w:right="153"/>
              <w:jc w:val="center"/>
              <w:rPr>
                <w:rFonts w:hint="eastAsia"/>
                <w:spacing w:val="7"/>
                <w:sz w:val="21"/>
                <w:szCs w:val="21"/>
                <w:lang w:eastAsia="zh-CN"/>
              </w:rPr>
            </w:pPr>
            <w:r>
              <w:rPr>
                <w:rFonts w:hint="eastAsia"/>
                <w:spacing w:val="7"/>
                <w:sz w:val="21"/>
                <w:szCs w:val="21"/>
                <w:lang w:eastAsia="zh-CN"/>
              </w:rPr>
              <w:t>一等奖</w:t>
            </w:r>
          </w:p>
        </w:tc>
        <w:tc>
          <w:tcPr>
            <w:tcW w:w="904" w:type="dxa"/>
            <w:tcBorders>
              <w:top w:val="single" w:color="auto" w:sz="4" w:space="0"/>
              <w:left w:val="single" w:color="auto" w:sz="4" w:space="0"/>
              <w:bottom w:val="single" w:color="auto" w:sz="4" w:space="0"/>
              <w:right w:val="single" w:color="auto" w:sz="4" w:space="0"/>
            </w:tcBorders>
            <w:shd w:val="clear" w:color="auto" w:fill="FFFFFF"/>
            <w:vAlign w:val="center"/>
          </w:tcPr>
          <w:p w14:paraId="22801E55">
            <w:pPr>
              <w:pStyle w:val="2"/>
              <w:widowControl w:val="0"/>
              <w:spacing w:before="166"/>
              <w:ind w:right="153"/>
              <w:jc w:val="center"/>
              <w:rPr>
                <w:rFonts w:hint="eastAsia"/>
                <w:spacing w:val="7"/>
                <w:sz w:val="21"/>
                <w:szCs w:val="21"/>
                <w:lang w:eastAsia="zh-CN"/>
              </w:rPr>
            </w:pPr>
            <w:r>
              <w:rPr>
                <w:rFonts w:hint="eastAsia"/>
                <w:spacing w:val="7"/>
                <w:sz w:val="21"/>
                <w:szCs w:val="21"/>
                <w:lang w:eastAsia="zh-CN"/>
              </w:rPr>
              <w:t>2</w:t>
            </w:r>
          </w:p>
        </w:tc>
        <w:tc>
          <w:tcPr>
            <w:tcW w:w="88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8185E4D">
            <w:pPr>
              <w:pStyle w:val="2"/>
              <w:widowControl w:val="0"/>
              <w:spacing w:before="166"/>
              <w:ind w:right="153"/>
              <w:jc w:val="center"/>
              <w:rPr>
                <w:rFonts w:hint="eastAsia"/>
                <w:spacing w:val="9"/>
                <w:sz w:val="21"/>
                <w:szCs w:val="21"/>
                <w:lang w:eastAsia="zh-CN"/>
              </w:rPr>
            </w:pPr>
          </w:p>
        </w:tc>
        <w:tc>
          <w:tcPr>
            <w:tcW w:w="275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9E66506">
            <w:pPr>
              <w:pStyle w:val="2"/>
              <w:widowControl w:val="0"/>
              <w:spacing w:before="166"/>
              <w:ind w:right="153"/>
              <w:jc w:val="center"/>
              <w:rPr>
                <w:rFonts w:hint="eastAsia"/>
                <w:sz w:val="21"/>
                <w:szCs w:val="21"/>
                <w:lang w:eastAsia="zh-CN"/>
              </w:rPr>
            </w:pPr>
            <w:r>
              <w:rPr>
                <w:rFonts w:hint="eastAsia"/>
                <w:color w:val="auto"/>
                <w:sz w:val="21"/>
                <w:szCs w:val="21"/>
                <w:lang w:eastAsia="zh-CN"/>
              </w:rPr>
              <w:t>参赛基础分为2分，具体成果分按照申请人提交的材料确认，最终分数为基础分＋成果分</w:t>
            </w:r>
          </w:p>
        </w:tc>
      </w:tr>
      <w:tr w14:paraId="5213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75" w:type="dxa"/>
            <w:vMerge w:val="continue"/>
            <w:tcBorders>
              <w:top w:val="single" w:color="auto" w:sz="4" w:space="0"/>
              <w:left w:val="single" w:color="auto" w:sz="4" w:space="0"/>
              <w:right w:val="single" w:color="000000" w:sz="6" w:space="0"/>
            </w:tcBorders>
            <w:shd w:val="clear" w:color="auto" w:fill="FFFFFF"/>
            <w:vAlign w:val="center"/>
          </w:tcPr>
          <w:p w14:paraId="70B838DE">
            <w:pPr>
              <w:pStyle w:val="2"/>
              <w:widowControl w:val="0"/>
              <w:spacing w:before="166" w:line="367" w:lineRule="auto"/>
              <w:ind w:right="153"/>
              <w:jc w:val="center"/>
              <w:rPr>
                <w:rFonts w:hint="eastAsia"/>
                <w:lang w:eastAsia="zh-CN"/>
              </w:rPr>
            </w:pPr>
          </w:p>
        </w:tc>
        <w:tc>
          <w:tcPr>
            <w:tcW w:w="2640" w:type="dxa"/>
            <w:vMerge w:val="continue"/>
            <w:tcBorders>
              <w:top w:val="single" w:color="auto" w:sz="4" w:space="0"/>
              <w:left w:val="single" w:color="000000" w:sz="6" w:space="0"/>
              <w:right w:val="single" w:color="auto" w:sz="4" w:space="0"/>
            </w:tcBorders>
            <w:shd w:val="clear" w:color="auto" w:fill="FFFFFF"/>
            <w:vAlign w:val="center"/>
          </w:tcPr>
          <w:p w14:paraId="666A991A">
            <w:pPr>
              <w:pStyle w:val="2"/>
              <w:widowControl w:val="0"/>
              <w:spacing w:before="166" w:line="367" w:lineRule="auto"/>
              <w:ind w:right="153"/>
              <w:jc w:val="center"/>
              <w:rPr>
                <w:rFonts w:hint="eastAsia"/>
                <w:lang w:eastAsia="zh-CN"/>
              </w:rPr>
            </w:pPr>
          </w:p>
        </w:tc>
        <w:tc>
          <w:tcPr>
            <w:tcW w:w="1087" w:type="dxa"/>
            <w:tcBorders>
              <w:top w:val="single" w:color="auto" w:sz="4" w:space="0"/>
              <w:left w:val="single" w:color="auto" w:sz="4" w:space="0"/>
              <w:bottom w:val="single" w:color="auto" w:sz="4" w:space="0"/>
              <w:right w:val="single" w:color="auto" w:sz="4" w:space="0"/>
            </w:tcBorders>
            <w:shd w:val="clear" w:color="auto" w:fill="FFFFFF"/>
            <w:vAlign w:val="center"/>
          </w:tcPr>
          <w:p w14:paraId="22806F69">
            <w:pPr>
              <w:pStyle w:val="2"/>
              <w:widowControl w:val="0"/>
              <w:spacing w:before="166"/>
              <w:ind w:right="153"/>
              <w:jc w:val="center"/>
              <w:rPr>
                <w:rFonts w:hint="eastAsia"/>
                <w:spacing w:val="7"/>
                <w:sz w:val="21"/>
                <w:szCs w:val="21"/>
                <w:lang w:eastAsia="zh-CN"/>
              </w:rPr>
            </w:pPr>
            <w:r>
              <w:rPr>
                <w:rFonts w:hint="eastAsia"/>
                <w:spacing w:val="7"/>
                <w:sz w:val="21"/>
                <w:szCs w:val="21"/>
                <w:lang w:eastAsia="zh-CN"/>
              </w:rPr>
              <w:t>二等奖</w:t>
            </w:r>
          </w:p>
        </w:tc>
        <w:tc>
          <w:tcPr>
            <w:tcW w:w="904" w:type="dxa"/>
            <w:tcBorders>
              <w:top w:val="single" w:color="auto" w:sz="4" w:space="0"/>
              <w:left w:val="single" w:color="auto" w:sz="4" w:space="0"/>
              <w:right w:val="single" w:color="000000" w:sz="6" w:space="0"/>
            </w:tcBorders>
            <w:shd w:val="clear" w:color="auto" w:fill="FFFFFF"/>
            <w:vAlign w:val="center"/>
          </w:tcPr>
          <w:p w14:paraId="343ED760">
            <w:pPr>
              <w:pStyle w:val="2"/>
              <w:widowControl w:val="0"/>
              <w:spacing w:before="166"/>
              <w:ind w:right="153"/>
              <w:jc w:val="center"/>
              <w:rPr>
                <w:rFonts w:hint="eastAsia"/>
                <w:spacing w:val="7"/>
                <w:sz w:val="21"/>
                <w:szCs w:val="21"/>
                <w:lang w:eastAsia="zh-CN"/>
              </w:rPr>
            </w:pPr>
            <w:r>
              <w:rPr>
                <w:rFonts w:hint="eastAsia"/>
                <w:spacing w:val="7"/>
                <w:sz w:val="21"/>
                <w:szCs w:val="21"/>
                <w:lang w:eastAsia="zh-CN"/>
              </w:rPr>
              <w:t>1</w:t>
            </w:r>
          </w:p>
        </w:tc>
        <w:tc>
          <w:tcPr>
            <w:tcW w:w="889" w:type="dxa"/>
            <w:vMerge w:val="continue"/>
            <w:tcBorders>
              <w:top w:val="single" w:color="auto" w:sz="4" w:space="0"/>
              <w:left w:val="single" w:color="000000" w:sz="6" w:space="0"/>
              <w:right w:val="single" w:color="000000" w:sz="6" w:space="0"/>
            </w:tcBorders>
            <w:shd w:val="clear" w:color="auto" w:fill="FFFFFF"/>
            <w:vAlign w:val="center"/>
          </w:tcPr>
          <w:p w14:paraId="69D95B9C">
            <w:pPr>
              <w:pStyle w:val="2"/>
              <w:widowControl w:val="0"/>
              <w:spacing w:before="166" w:line="367" w:lineRule="auto"/>
              <w:ind w:right="153"/>
              <w:jc w:val="center"/>
              <w:rPr>
                <w:rFonts w:hint="eastAsia"/>
                <w:spacing w:val="7"/>
                <w:sz w:val="21"/>
                <w:szCs w:val="21"/>
                <w:lang w:eastAsia="zh-CN"/>
              </w:rPr>
            </w:pPr>
          </w:p>
        </w:tc>
        <w:tc>
          <w:tcPr>
            <w:tcW w:w="2753" w:type="dxa"/>
            <w:vMerge w:val="continue"/>
            <w:tcBorders>
              <w:top w:val="single" w:color="auto" w:sz="4" w:space="0"/>
              <w:left w:val="single" w:color="000000" w:sz="6" w:space="0"/>
              <w:right w:val="single" w:color="auto" w:sz="4" w:space="0"/>
            </w:tcBorders>
            <w:shd w:val="clear" w:color="auto" w:fill="FFFFFF"/>
            <w:vAlign w:val="center"/>
          </w:tcPr>
          <w:p w14:paraId="529C526D">
            <w:pPr>
              <w:pStyle w:val="2"/>
              <w:widowControl w:val="0"/>
              <w:spacing w:before="166" w:line="367" w:lineRule="auto"/>
              <w:ind w:right="153"/>
              <w:jc w:val="center"/>
              <w:rPr>
                <w:rFonts w:hint="eastAsia"/>
                <w:spacing w:val="7"/>
                <w:sz w:val="21"/>
                <w:szCs w:val="21"/>
                <w:lang w:eastAsia="zh-CN"/>
              </w:rPr>
            </w:pPr>
          </w:p>
        </w:tc>
      </w:tr>
      <w:tr w14:paraId="7F15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75" w:type="dxa"/>
            <w:vMerge w:val="continue"/>
            <w:tcBorders>
              <w:left w:val="single" w:color="auto" w:sz="4" w:space="0"/>
              <w:right w:val="single" w:color="000000" w:sz="6" w:space="0"/>
            </w:tcBorders>
            <w:shd w:val="clear" w:color="auto" w:fill="FFFFFF"/>
            <w:vAlign w:val="center"/>
          </w:tcPr>
          <w:p w14:paraId="3F4834B8">
            <w:pPr>
              <w:pStyle w:val="2"/>
              <w:widowControl w:val="0"/>
              <w:spacing w:before="166" w:line="367" w:lineRule="auto"/>
              <w:ind w:right="153"/>
              <w:jc w:val="center"/>
              <w:rPr>
                <w:rFonts w:hint="eastAsia"/>
                <w:spacing w:val="7"/>
                <w:sz w:val="21"/>
                <w:szCs w:val="21"/>
                <w:lang w:eastAsia="zh-CN"/>
              </w:rPr>
            </w:pPr>
          </w:p>
        </w:tc>
        <w:tc>
          <w:tcPr>
            <w:tcW w:w="2640" w:type="dxa"/>
            <w:vMerge w:val="continue"/>
            <w:tcBorders>
              <w:left w:val="single" w:color="000000" w:sz="6" w:space="0"/>
              <w:right w:val="single" w:color="auto" w:sz="4" w:space="0"/>
            </w:tcBorders>
            <w:shd w:val="clear" w:color="auto" w:fill="FFFFFF"/>
            <w:vAlign w:val="center"/>
          </w:tcPr>
          <w:p w14:paraId="501B4B4A">
            <w:pPr>
              <w:pStyle w:val="2"/>
              <w:widowControl w:val="0"/>
              <w:spacing w:before="166" w:line="367" w:lineRule="auto"/>
              <w:ind w:right="153"/>
              <w:jc w:val="center"/>
              <w:rPr>
                <w:rFonts w:hint="eastAsia"/>
                <w:spacing w:val="7"/>
                <w:sz w:val="21"/>
                <w:szCs w:val="21"/>
                <w:lang w:eastAsia="zh-CN"/>
              </w:rPr>
            </w:pPr>
          </w:p>
        </w:tc>
        <w:tc>
          <w:tcPr>
            <w:tcW w:w="1087" w:type="dxa"/>
            <w:tcBorders>
              <w:top w:val="single" w:color="auto" w:sz="4" w:space="0"/>
              <w:left w:val="single" w:color="auto" w:sz="4" w:space="0"/>
              <w:bottom w:val="single" w:color="auto" w:sz="4" w:space="0"/>
              <w:right w:val="single" w:color="auto" w:sz="4" w:space="0"/>
            </w:tcBorders>
            <w:shd w:val="clear" w:color="auto" w:fill="FFFFFF"/>
            <w:vAlign w:val="center"/>
          </w:tcPr>
          <w:p w14:paraId="4224248F">
            <w:pPr>
              <w:pStyle w:val="2"/>
              <w:widowControl w:val="0"/>
              <w:spacing w:before="166"/>
              <w:ind w:right="153"/>
              <w:jc w:val="center"/>
              <w:rPr>
                <w:rFonts w:hint="eastAsia"/>
                <w:spacing w:val="7"/>
                <w:sz w:val="21"/>
                <w:szCs w:val="21"/>
                <w:lang w:eastAsia="zh-CN"/>
              </w:rPr>
            </w:pPr>
            <w:r>
              <w:rPr>
                <w:rFonts w:hint="eastAsia"/>
                <w:spacing w:val="7"/>
                <w:sz w:val="21"/>
                <w:szCs w:val="21"/>
                <w:lang w:eastAsia="zh-CN"/>
              </w:rPr>
              <w:t>三等奖</w:t>
            </w:r>
          </w:p>
        </w:tc>
        <w:tc>
          <w:tcPr>
            <w:tcW w:w="904" w:type="dxa"/>
            <w:tcBorders>
              <w:left w:val="single" w:color="auto" w:sz="4" w:space="0"/>
              <w:right w:val="single" w:color="000000" w:sz="6" w:space="0"/>
            </w:tcBorders>
            <w:shd w:val="clear" w:color="auto" w:fill="FFFFFF"/>
            <w:vAlign w:val="center"/>
          </w:tcPr>
          <w:p w14:paraId="7F9B5125">
            <w:pPr>
              <w:pStyle w:val="2"/>
              <w:widowControl w:val="0"/>
              <w:spacing w:before="166"/>
              <w:ind w:right="153"/>
              <w:jc w:val="center"/>
              <w:rPr>
                <w:rFonts w:hint="eastAsia"/>
                <w:spacing w:val="7"/>
                <w:sz w:val="21"/>
                <w:szCs w:val="21"/>
                <w:lang w:eastAsia="zh-CN"/>
              </w:rPr>
            </w:pPr>
            <w:r>
              <w:rPr>
                <w:rFonts w:hint="eastAsia"/>
                <w:spacing w:val="7"/>
                <w:sz w:val="21"/>
                <w:szCs w:val="21"/>
                <w:lang w:eastAsia="zh-CN"/>
              </w:rPr>
              <w:t>0.5</w:t>
            </w:r>
          </w:p>
        </w:tc>
        <w:tc>
          <w:tcPr>
            <w:tcW w:w="889" w:type="dxa"/>
            <w:vMerge w:val="continue"/>
            <w:tcBorders>
              <w:left w:val="single" w:color="000000" w:sz="6" w:space="0"/>
              <w:right w:val="single" w:color="000000" w:sz="6" w:space="0"/>
            </w:tcBorders>
            <w:shd w:val="clear" w:color="auto" w:fill="FFFFFF"/>
            <w:vAlign w:val="center"/>
          </w:tcPr>
          <w:p w14:paraId="0484F86C">
            <w:pPr>
              <w:pStyle w:val="2"/>
              <w:widowControl w:val="0"/>
              <w:spacing w:before="166" w:line="367" w:lineRule="auto"/>
              <w:ind w:right="153"/>
              <w:jc w:val="center"/>
              <w:rPr>
                <w:rFonts w:hint="eastAsia"/>
                <w:spacing w:val="7"/>
                <w:sz w:val="21"/>
                <w:szCs w:val="21"/>
                <w:lang w:eastAsia="zh-CN"/>
              </w:rPr>
            </w:pPr>
          </w:p>
        </w:tc>
        <w:tc>
          <w:tcPr>
            <w:tcW w:w="2753" w:type="dxa"/>
            <w:vMerge w:val="continue"/>
            <w:tcBorders>
              <w:left w:val="single" w:color="000000" w:sz="6" w:space="0"/>
              <w:right w:val="single" w:color="auto" w:sz="4" w:space="0"/>
            </w:tcBorders>
            <w:shd w:val="clear" w:color="auto" w:fill="FFFFFF"/>
            <w:vAlign w:val="center"/>
          </w:tcPr>
          <w:p w14:paraId="7C3B03FF">
            <w:pPr>
              <w:pStyle w:val="2"/>
              <w:widowControl w:val="0"/>
              <w:spacing w:before="166" w:line="367" w:lineRule="auto"/>
              <w:ind w:right="153"/>
              <w:jc w:val="center"/>
              <w:rPr>
                <w:rFonts w:hint="eastAsia"/>
                <w:spacing w:val="7"/>
                <w:sz w:val="21"/>
                <w:szCs w:val="21"/>
                <w:lang w:eastAsia="zh-CN"/>
              </w:rPr>
            </w:pPr>
          </w:p>
        </w:tc>
      </w:tr>
    </w:tbl>
    <w:p w14:paraId="71210E5D">
      <w:pPr>
        <w:pStyle w:val="2"/>
        <w:spacing w:before="166" w:line="367" w:lineRule="auto"/>
        <w:ind w:right="153"/>
        <w:rPr>
          <w:rFonts w:hint="eastAsia"/>
        </w:rPr>
      </w:pPr>
    </w:p>
    <w:p w14:paraId="1C30EA1E">
      <w:pPr>
        <w:pStyle w:val="2"/>
        <w:spacing w:before="250" w:line="364" w:lineRule="auto"/>
        <w:ind w:left="33" w:right="102" w:firstLine="653"/>
        <w:rPr>
          <w:rFonts w:hint="eastAsia"/>
          <w:spacing w:val="8"/>
          <w:lang w:eastAsia="zh-CN"/>
        </w:rPr>
      </w:pPr>
      <w:r>
        <w:rPr>
          <w:rFonts w:hint="eastAsia"/>
          <w:spacing w:val="8"/>
          <w:lang w:eastAsia="zh-CN"/>
        </w:rPr>
        <w:t>（5）其他科研加分事由部分参考活动分计算规则第四款。特殊例外加分由学院酌情认定。</w:t>
      </w:r>
    </w:p>
    <w:p w14:paraId="1B923CC5">
      <w:pPr>
        <w:pStyle w:val="2"/>
        <w:spacing w:before="250" w:line="364" w:lineRule="auto"/>
        <w:ind w:left="33" w:right="102" w:firstLine="653"/>
        <w:rPr>
          <w:rFonts w:hint="eastAsia"/>
          <w:spacing w:val="8"/>
          <w:lang w:eastAsia="zh-CN"/>
        </w:rPr>
      </w:pPr>
      <w:r>
        <w:rPr>
          <w:rFonts w:hint="eastAsia"/>
          <w:spacing w:val="8"/>
          <w:lang w:eastAsia="zh-CN"/>
        </w:rPr>
        <w:t>3.活动分计算规则</w:t>
      </w:r>
    </w:p>
    <w:p w14:paraId="54320A10">
      <w:pPr>
        <w:pStyle w:val="2"/>
        <w:spacing w:before="250" w:line="364" w:lineRule="auto"/>
        <w:ind w:left="33" w:right="102" w:firstLine="653"/>
        <w:rPr>
          <w:rFonts w:hint="eastAsia"/>
          <w:spacing w:val="8"/>
          <w:lang w:eastAsia="zh-CN"/>
        </w:rPr>
      </w:pPr>
      <w:r>
        <w:rPr>
          <w:rFonts w:hint="eastAsia"/>
          <w:spacing w:val="8"/>
          <w:lang w:eastAsia="zh-CN"/>
        </w:rPr>
        <w:t>（1）讲座是否加分以辅导员当时通知为准，上一学年的讲座、活动考核中，每出席一次加 1 分，要求全部出席的，缺席者扣 1 分，以班级负责人考勤记录为准。</w:t>
      </w:r>
    </w:p>
    <w:p w14:paraId="1EB8E001">
      <w:pPr>
        <w:pStyle w:val="2"/>
        <w:spacing w:before="250" w:line="364" w:lineRule="auto"/>
        <w:ind w:left="33" w:right="102" w:firstLine="653"/>
        <w:rPr>
          <w:rFonts w:hint="eastAsia"/>
          <w:spacing w:val="8"/>
          <w:lang w:eastAsia="zh-CN"/>
        </w:rPr>
      </w:pPr>
      <w:r>
        <w:rPr>
          <w:rFonts w:hint="eastAsia"/>
          <w:spacing w:val="8"/>
          <w:lang w:eastAsia="zh-CN"/>
        </w:rPr>
        <w:t>（2）学生干部加分标准（以学年为单位）：</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6828"/>
      </w:tblGrid>
      <w:tr w14:paraId="682A3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38" w:type="dxa"/>
            <w:tcBorders>
              <w:top w:val="single" w:color="000000" w:sz="6" w:space="0"/>
              <w:left w:val="single" w:color="000000" w:sz="6" w:space="0"/>
              <w:bottom w:val="single" w:color="auto" w:sz="4" w:space="0"/>
              <w:right w:val="single" w:color="000000" w:sz="6" w:space="0"/>
            </w:tcBorders>
            <w:shd w:val="clear" w:color="auto" w:fill="FFFFFF"/>
            <w:vAlign w:val="center"/>
          </w:tcPr>
          <w:p w14:paraId="35765830">
            <w:pPr>
              <w:pStyle w:val="2"/>
              <w:widowControl w:val="0"/>
              <w:spacing w:before="166" w:line="367" w:lineRule="auto"/>
              <w:ind w:right="153"/>
              <w:jc w:val="center"/>
              <w:rPr>
                <w:rFonts w:hint="eastAsia"/>
                <w:b/>
                <w:sz w:val="24"/>
                <w:szCs w:val="24"/>
                <w:lang w:eastAsia="zh-CN"/>
              </w:rPr>
            </w:pPr>
            <w:r>
              <w:rPr>
                <w:rFonts w:hint="eastAsia"/>
                <w:b/>
                <w:sz w:val="24"/>
                <w:szCs w:val="24"/>
                <w:lang w:eastAsia="zh-CN"/>
              </w:rPr>
              <w:t>加分分数</w:t>
            </w:r>
          </w:p>
        </w:tc>
        <w:tc>
          <w:tcPr>
            <w:tcW w:w="6828" w:type="dxa"/>
            <w:tcBorders>
              <w:top w:val="single" w:color="000000" w:sz="6" w:space="0"/>
              <w:left w:val="single" w:color="000000" w:sz="6" w:space="0"/>
              <w:bottom w:val="single" w:color="auto" w:sz="4" w:space="0"/>
              <w:right w:val="single" w:color="000000" w:sz="6" w:space="0"/>
            </w:tcBorders>
            <w:shd w:val="clear" w:color="auto" w:fill="FFFFFF"/>
            <w:vAlign w:val="center"/>
          </w:tcPr>
          <w:p w14:paraId="1821EA67">
            <w:pPr>
              <w:pStyle w:val="2"/>
              <w:widowControl w:val="0"/>
              <w:spacing w:before="166" w:line="367" w:lineRule="auto"/>
              <w:ind w:right="153"/>
              <w:jc w:val="center"/>
              <w:rPr>
                <w:rFonts w:hint="eastAsia"/>
                <w:b/>
                <w:sz w:val="24"/>
                <w:szCs w:val="24"/>
                <w:lang w:eastAsia="zh-CN"/>
              </w:rPr>
            </w:pPr>
            <w:r>
              <w:rPr>
                <w:rFonts w:hint="eastAsia"/>
                <w:b/>
                <w:sz w:val="24"/>
                <w:szCs w:val="24"/>
                <w:lang w:eastAsia="zh-CN"/>
              </w:rPr>
              <w:t>学生干部职位名称</w:t>
            </w:r>
          </w:p>
        </w:tc>
      </w:tr>
      <w:tr w14:paraId="1F333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8" w:type="dxa"/>
            <w:tcBorders>
              <w:top w:val="single" w:color="auto" w:sz="4" w:space="0"/>
              <w:left w:val="single" w:color="auto" w:sz="4" w:space="0"/>
              <w:bottom w:val="single" w:color="auto" w:sz="4" w:space="0"/>
              <w:right w:val="single" w:color="auto" w:sz="4" w:space="0"/>
            </w:tcBorders>
            <w:shd w:val="clear" w:color="auto" w:fill="FFFFFF"/>
            <w:vAlign w:val="center"/>
          </w:tcPr>
          <w:p w14:paraId="369C36EC">
            <w:pPr>
              <w:pStyle w:val="2"/>
              <w:widowControl w:val="0"/>
              <w:spacing w:before="166" w:line="367" w:lineRule="auto"/>
              <w:ind w:right="153"/>
              <w:jc w:val="center"/>
              <w:rPr>
                <w:rFonts w:hint="eastAsia"/>
                <w:spacing w:val="-2"/>
                <w:sz w:val="21"/>
                <w:szCs w:val="21"/>
                <w:lang w:eastAsia="zh-CN"/>
              </w:rPr>
            </w:pPr>
            <w:r>
              <w:rPr>
                <w:rFonts w:hint="eastAsia"/>
                <w:spacing w:val="-2"/>
                <w:sz w:val="21"/>
                <w:szCs w:val="21"/>
                <w:lang w:eastAsia="zh-CN"/>
              </w:rPr>
              <w:t>5</w:t>
            </w:r>
          </w:p>
        </w:tc>
        <w:tc>
          <w:tcPr>
            <w:tcW w:w="6828" w:type="dxa"/>
            <w:tcBorders>
              <w:top w:val="single" w:color="auto" w:sz="4" w:space="0"/>
              <w:left w:val="single" w:color="auto" w:sz="4" w:space="0"/>
              <w:bottom w:val="single" w:color="auto" w:sz="4" w:space="0"/>
              <w:right w:val="single" w:color="auto" w:sz="4" w:space="0"/>
            </w:tcBorders>
            <w:shd w:val="clear" w:color="auto" w:fill="FFFFFF"/>
            <w:vAlign w:val="center"/>
          </w:tcPr>
          <w:p w14:paraId="21F3C0AC">
            <w:pPr>
              <w:pStyle w:val="2"/>
              <w:widowControl w:val="0"/>
              <w:spacing w:before="166" w:line="367" w:lineRule="auto"/>
              <w:ind w:right="153"/>
              <w:jc w:val="center"/>
              <w:rPr>
                <w:rFonts w:hint="eastAsia"/>
                <w:spacing w:val="-2"/>
                <w:sz w:val="21"/>
                <w:szCs w:val="21"/>
                <w:lang w:eastAsia="zh-CN"/>
              </w:rPr>
            </w:pPr>
            <w:r>
              <w:rPr>
                <w:rFonts w:hint="eastAsia"/>
                <w:spacing w:val="-2"/>
                <w:sz w:val="21"/>
                <w:szCs w:val="21"/>
                <w:lang w:eastAsia="zh-CN"/>
              </w:rPr>
              <w:t>兼职辅导员、兼职团委副书记（2人）、辅导员助理、本研教秘助理（各1人）、班长、团支书、党支部书记、研究生会执行主席</w:t>
            </w:r>
          </w:p>
        </w:tc>
      </w:tr>
      <w:tr w14:paraId="7DE91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8" w:type="dxa"/>
            <w:tcBorders>
              <w:top w:val="single" w:color="auto" w:sz="4" w:space="0"/>
              <w:left w:val="single" w:color="auto" w:sz="4" w:space="0"/>
              <w:bottom w:val="single" w:color="auto" w:sz="4" w:space="0"/>
              <w:right w:val="single" w:color="auto" w:sz="4" w:space="0"/>
            </w:tcBorders>
            <w:shd w:val="clear" w:color="auto" w:fill="FFFFFF"/>
            <w:vAlign w:val="center"/>
          </w:tcPr>
          <w:p w14:paraId="0BE45CCD">
            <w:pPr>
              <w:pStyle w:val="2"/>
              <w:widowControl w:val="0"/>
              <w:spacing w:before="166" w:line="367" w:lineRule="auto"/>
              <w:ind w:right="153"/>
              <w:jc w:val="center"/>
              <w:rPr>
                <w:rFonts w:hint="eastAsia"/>
                <w:spacing w:val="-2"/>
                <w:sz w:val="21"/>
                <w:szCs w:val="21"/>
                <w:lang w:eastAsia="zh-CN"/>
              </w:rPr>
            </w:pPr>
            <w:r>
              <w:rPr>
                <w:rFonts w:hint="eastAsia"/>
                <w:spacing w:val="-2"/>
                <w:sz w:val="21"/>
                <w:szCs w:val="21"/>
                <w:lang w:eastAsia="zh-CN"/>
              </w:rPr>
              <w:t>4</w:t>
            </w:r>
          </w:p>
        </w:tc>
        <w:tc>
          <w:tcPr>
            <w:tcW w:w="6828" w:type="dxa"/>
            <w:tcBorders>
              <w:top w:val="single" w:color="auto" w:sz="4" w:space="0"/>
              <w:left w:val="single" w:color="auto" w:sz="4" w:space="0"/>
              <w:bottom w:val="single" w:color="auto" w:sz="4" w:space="0"/>
              <w:right w:val="single" w:color="auto" w:sz="4" w:space="0"/>
            </w:tcBorders>
            <w:shd w:val="clear" w:color="auto" w:fill="FFFFFF"/>
            <w:vAlign w:val="center"/>
          </w:tcPr>
          <w:p w14:paraId="52C8D6E6">
            <w:pPr>
              <w:pStyle w:val="2"/>
              <w:widowControl w:val="0"/>
              <w:spacing w:before="166" w:line="367" w:lineRule="auto"/>
              <w:ind w:right="153"/>
              <w:jc w:val="center"/>
              <w:rPr>
                <w:rFonts w:hint="eastAsia"/>
                <w:spacing w:val="-2"/>
                <w:sz w:val="21"/>
                <w:szCs w:val="21"/>
                <w:lang w:eastAsia="zh-CN"/>
              </w:rPr>
            </w:pPr>
            <w:r>
              <w:rPr>
                <w:rFonts w:hint="eastAsia"/>
                <w:spacing w:val="-2"/>
                <w:sz w:val="21"/>
                <w:szCs w:val="21"/>
                <w:lang w:eastAsia="zh-CN"/>
              </w:rPr>
              <w:t>研究生会主席团成员</w:t>
            </w:r>
          </w:p>
        </w:tc>
      </w:tr>
      <w:tr w14:paraId="68467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8" w:type="dxa"/>
            <w:tcBorders>
              <w:top w:val="single" w:color="auto" w:sz="4" w:space="0"/>
              <w:left w:val="single" w:color="auto" w:sz="4" w:space="0"/>
              <w:bottom w:val="single" w:color="auto" w:sz="4" w:space="0"/>
              <w:right w:val="single" w:color="auto" w:sz="4" w:space="0"/>
            </w:tcBorders>
            <w:shd w:val="clear" w:color="auto" w:fill="FFFFFF"/>
            <w:vAlign w:val="center"/>
          </w:tcPr>
          <w:p w14:paraId="7267B732">
            <w:pPr>
              <w:pStyle w:val="2"/>
              <w:widowControl w:val="0"/>
              <w:spacing w:before="166" w:line="367" w:lineRule="auto"/>
              <w:ind w:right="153"/>
              <w:jc w:val="center"/>
              <w:rPr>
                <w:rFonts w:hint="eastAsia"/>
                <w:spacing w:val="-2"/>
                <w:sz w:val="21"/>
                <w:szCs w:val="21"/>
                <w:lang w:eastAsia="zh-CN"/>
              </w:rPr>
            </w:pPr>
            <w:r>
              <w:rPr>
                <w:rFonts w:hint="eastAsia"/>
                <w:spacing w:val="-2"/>
                <w:sz w:val="21"/>
                <w:szCs w:val="21"/>
                <w:lang w:eastAsia="zh-CN"/>
              </w:rPr>
              <w:t>3</w:t>
            </w:r>
          </w:p>
        </w:tc>
        <w:tc>
          <w:tcPr>
            <w:tcW w:w="6828" w:type="dxa"/>
            <w:tcBorders>
              <w:top w:val="single" w:color="auto" w:sz="4" w:space="0"/>
              <w:left w:val="single" w:color="auto" w:sz="4" w:space="0"/>
              <w:bottom w:val="single" w:color="auto" w:sz="4" w:space="0"/>
              <w:right w:val="single" w:color="auto" w:sz="4" w:space="0"/>
            </w:tcBorders>
            <w:shd w:val="clear" w:color="auto" w:fill="FFFFFF"/>
            <w:vAlign w:val="center"/>
          </w:tcPr>
          <w:p w14:paraId="0FEBE896">
            <w:pPr>
              <w:pStyle w:val="2"/>
              <w:widowControl w:val="0"/>
              <w:spacing w:before="166" w:line="367" w:lineRule="auto"/>
              <w:ind w:right="153"/>
              <w:jc w:val="center"/>
              <w:rPr>
                <w:rFonts w:hint="eastAsia"/>
                <w:spacing w:val="-2"/>
                <w:sz w:val="21"/>
                <w:szCs w:val="21"/>
                <w:lang w:eastAsia="zh-CN"/>
              </w:rPr>
            </w:pPr>
            <w:r>
              <w:rPr>
                <w:rFonts w:hint="eastAsia"/>
                <w:spacing w:val="-2"/>
                <w:sz w:val="21"/>
                <w:szCs w:val="21"/>
                <w:lang w:eastAsia="zh-CN"/>
              </w:rPr>
              <w:t>党支部委员、研究生会部长、辅导员助理</w:t>
            </w:r>
          </w:p>
        </w:tc>
      </w:tr>
      <w:tr w14:paraId="729F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8" w:type="dxa"/>
            <w:tcBorders>
              <w:top w:val="single" w:color="auto" w:sz="4" w:space="0"/>
              <w:left w:val="single" w:color="auto" w:sz="4" w:space="0"/>
              <w:bottom w:val="single" w:color="auto" w:sz="4" w:space="0"/>
              <w:right w:val="single" w:color="auto" w:sz="4" w:space="0"/>
            </w:tcBorders>
            <w:shd w:val="clear" w:color="auto" w:fill="FFFFFF"/>
            <w:vAlign w:val="center"/>
          </w:tcPr>
          <w:p w14:paraId="72BDF60A">
            <w:pPr>
              <w:pStyle w:val="2"/>
              <w:widowControl w:val="0"/>
              <w:spacing w:before="166" w:line="367" w:lineRule="auto"/>
              <w:ind w:right="153"/>
              <w:jc w:val="center"/>
              <w:rPr>
                <w:rFonts w:hint="eastAsia"/>
                <w:spacing w:val="-2"/>
                <w:sz w:val="21"/>
                <w:szCs w:val="21"/>
                <w:lang w:eastAsia="zh-CN"/>
              </w:rPr>
            </w:pPr>
            <w:r>
              <w:rPr>
                <w:rFonts w:hint="eastAsia"/>
                <w:spacing w:val="-2"/>
                <w:sz w:val="21"/>
                <w:szCs w:val="21"/>
                <w:lang w:eastAsia="zh-CN"/>
              </w:rPr>
              <w:t>2</w:t>
            </w:r>
          </w:p>
        </w:tc>
        <w:tc>
          <w:tcPr>
            <w:tcW w:w="6828" w:type="dxa"/>
            <w:tcBorders>
              <w:top w:val="single" w:color="auto" w:sz="4" w:space="0"/>
              <w:left w:val="single" w:color="auto" w:sz="4" w:space="0"/>
              <w:bottom w:val="single" w:color="auto" w:sz="4" w:space="0"/>
              <w:right w:val="single" w:color="auto" w:sz="4" w:space="0"/>
            </w:tcBorders>
            <w:shd w:val="clear" w:color="auto" w:fill="FFFFFF"/>
            <w:vAlign w:val="center"/>
          </w:tcPr>
          <w:p w14:paraId="7C94C6E7">
            <w:pPr>
              <w:pStyle w:val="2"/>
              <w:widowControl w:val="0"/>
              <w:spacing w:before="166" w:line="367" w:lineRule="auto"/>
              <w:ind w:right="153"/>
              <w:jc w:val="center"/>
              <w:rPr>
                <w:rFonts w:hint="eastAsia"/>
                <w:spacing w:val="-2"/>
                <w:sz w:val="21"/>
                <w:szCs w:val="21"/>
              </w:rPr>
            </w:pPr>
            <w:r>
              <w:rPr>
                <w:rFonts w:hint="eastAsia"/>
                <w:spacing w:val="-2"/>
                <w:sz w:val="21"/>
                <w:szCs w:val="21"/>
                <w:lang w:eastAsia="zh-CN"/>
              </w:rPr>
              <w:t>研究生会副部长</w:t>
            </w:r>
          </w:p>
        </w:tc>
      </w:tr>
      <w:tr w14:paraId="7632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8" w:type="dxa"/>
            <w:tcBorders>
              <w:top w:val="single" w:color="auto" w:sz="4" w:space="0"/>
              <w:left w:val="single" w:color="auto" w:sz="4" w:space="0"/>
              <w:bottom w:val="single" w:color="auto" w:sz="4" w:space="0"/>
              <w:right w:val="single" w:color="auto" w:sz="4" w:space="0"/>
            </w:tcBorders>
            <w:shd w:val="clear" w:color="auto" w:fill="FFFFFF"/>
            <w:vAlign w:val="center"/>
          </w:tcPr>
          <w:p w14:paraId="6F00054C">
            <w:pPr>
              <w:pStyle w:val="2"/>
              <w:widowControl w:val="0"/>
              <w:spacing w:before="166" w:line="367" w:lineRule="auto"/>
              <w:ind w:right="153"/>
              <w:jc w:val="center"/>
              <w:rPr>
                <w:rFonts w:hint="eastAsia"/>
                <w:spacing w:val="-2"/>
                <w:sz w:val="21"/>
                <w:szCs w:val="21"/>
                <w:lang w:eastAsia="zh-CN"/>
              </w:rPr>
            </w:pPr>
            <w:r>
              <w:rPr>
                <w:rFonts w:hint="eastAsia"/>
                <w:spacing w:val="-2"/>
                <w:sz w:val="21"/>
                <w:szCs w:val="21"/>
                <w:lang w:eastAsia="zh-CN"/>
              </w:rPr>
              <w:t>1</w:t>
            </w:r>
          </w:p>
        </w:tc>
        <w:tc>
          <w:tcPr>
            <w:tcW w:w="6828" w:type="dxa"/>
            <w:tcBorders>
              <w:top w:val="single" w:color="auto" w:sz="4" w:space="0"/>
              <w:left w:val="single" w:color="auto" w:sz="4" w:space="0"/>
              <w:bottom w:val="single" w:color="auto" w:sz="4" w:space="0"/>
              <w:right w:val="single" w:color="auto" w:sz="4" w:space="0"/>
            </w:tcBorders>
            <w:shd w:val="clear" w:color="auto" w:fill="FFFFFF"/>
            <w:vAlign w:val="center"/>
          </w:tcPr>
          <w:p w14:paraId="6ED82C91">
            <w:pPr>
              <w:pStyle w:val="2"/>
              <w:widowControl w:val="0"/>
              <w:spacing w:before="166" w:line="367" w:lineRule="auto"/>
              <w:ind w:right="153"/>
              <w:jc w:val="center"/>
              <w:rPr>
                <w:rFonts w:hint="eastAsia"/>
                <w:spacing w:val="-2"/>
                <w:sz w:val="21"/>
                <w:szCs w:val="21"/>
                <w:lang w:eastAsia="zh-CN"/>
              </w:rPr>
            </w:pPr>
            <w:r>
              <w:rPr>
                <w:rFonts w:hint="eastAsia"/>
                <w:spacing w:val="-2"/>
                <w:sz w:val="21"/>
                <w:szCs w:val="21"/>
                <w:lang w:eastAsia="zh-CN"/>
              </w:rPr>
              <w:t>研究生会干事</w:t>
            </w:r>
          </w:p>
        </w:tc>
      </w:tr>
    </w:tbl>
    <w:p w14:paraId="1184F42A">
      <w:pPr>
        <w:pStyle w:val="2"/>
        <w:spacing w:before="52" w:line="367" w:lineRule="auto"/>
        <w:jc w:val="both"/>
        <w:rPr>
          <w:rFonts w:hint="eastAsia"/>
          <w:spacing w:val="-5"/>
          <w:lang w:eastAsia="zh-CN"/>
        </w:rPr>
      </w:pPr>
      <w:r>
        <w:rPr>
          <w:rFonts w:hint="eastAsia"/>
          <w:spacing w:val="-5"/>
          <w:lang w:eastAsia="zh-CN"/>
        </w:rPr>
        <w:t xml:space="preserve">  </w:t>
      </w:r>
    </w:p>
    <w:p w14:paraId="34979732">
      <w:pPr>
        <w:pStyle w:val="2"/>
        <w:spacing w:before="250" w:line="364" w:lineRule="auto"/>
        <w:ind w:left="33" w:right="102" w:firstLine="653"/>
        <w:rPr>
          <w:rFonts w:hint="eastAsia"/>
          <w:spacing w:val="8"/>
          <w:lang w:eastAsia="zh-CN"/>
        </w:rPr>
      </w:pPr>
      <w:r>
        <w:rPr>
          <w:rFonts w:hint="eastAsia"/>
          <w:spacing w:val="8"/>
          <w:lang w:eastAsia="zh-CN"/>
        </w:rPr>
        <w:t>辅导员助理、其他学生干部具体加分由学院结合聘任、工作和考核情况确定。</w:t>
      </w:r>
    </w:p>
    <w:p w14:paraId="36902BE3">
      <w:pPr>
        <w:pStyle w:val="2"/>
        <w:spacing w:before="250" w:line="364" w:lineRule="auto"/>
        <w:ind w:left="33" w:right="102" w:firstLine="653"/>
        <w:rPr>
          <w:rFonts w:hint="eastAsia"/>
          <w:spacing w:val="8"/>
          <w:lang w:eastAsia="zh-CN"/>
        </w:rPr>
      </w:pPr>
      <w:r>
        <w:rPr>
          <w:rFonts w:hint="eastAsia"/>
          <w:spacing w:val="8"/>
          <w:lang w:eastAsia="zh-CN"/>
        </w:rPr>
        <w:t>各类学生干部（含校级、院级社团）只加一次最高分，各社团举办的活动、各社团评选的各种荣誉称号不再给社团成员额外加分。</w:t>
      </w:r>
    </w:p>
    <w:p w14:paraId="53F06B52">
      <w:pPr>
        <w:pStyle w:val="2"/>
        <w:spacing w:before="250" w:line="364" w:lineRule="auto"/>
        <w:ind w:left="33" w:right="102" w:firstLine="653"/>
        <w:rPr>
          <w:rFonts w:hint="eastAsia"/>
          <w:spacing w:val="8"/>
          <w:lang w:eastAsia="zh-CN"/>
        </w:rPr>
      </w:pPr>
      <w:r>
        <w:rPr>
          <w:rFonts w:hint="eastAsia"/>
          <w:spacing w:val="8"/>
          <w:lang w:eastAsia="zh-CN"/>
        </w:rPr>
        <w:t>（3）实际参加学校组织献血活动的学生，凭献血证加 2 分。</w:t>
      </w:r>
    </w:p>
    <w:p w14:paraId="49520A0C">
      <w:pPr>
        <w:pStyle w:val="2"/>
        <w:spacing w:before="250" w:line="364" w:lineRule="auto"/>
        <w:ind w:left="33" w:right="102" w:firstLine="653"/>
        <w:rPr>
          <w:rFonts w:hint="eastAsia"/>
          <w:spacing w:val="8"/>
          <w:lang w:eastAsia="zh-CN"/>
        </w:rPr>
      </w:pPr>
      <w:r>
        <w:rPr>
          <w:rFonts w:hint="eastAsia"/>
          <w:spacing w:val="8"/>
          <w:lang w:eastAsia="zh-CN"/>
        </w:rPr>
        <w:t>（4）科技创新、社会实践（与学术有关的）竞赛类加分标准（以学年为单位）：</w:t>
      </w:r>
    </w:p>
    <w:p w14:paraId="6B583F5B">
      <w:pPr>
        <w:pStyle w:val="2"/>
        <w:spacing w:before="251" w:line="224" w:lineRule="auto"/>
        <w:ind w:left="678" w:firstLine="644" w:firstLineChars="200"/>
        <w:rPr>
          <w:rFonts w:hint="eastAsia"/>
          <w:spacing w:val="6"/>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5"/>
        <w:gridCol w:w="2045"/>
        <w:gridCol w:w="2045"/>
        <w:gridCol w:w="2045"/>
      </w:tblGrid>
      <w:tr w14:paraId="4D09F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045"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FFFFFF"/>
            <w:vAlign w:val="center"/>
          </w:tcPr>
          <w:p w14:paraId="33836D76">
            <w:pPr>
              <w:pStyle w:val="2"/>
              <w:widowControl w:val="0"/>
              <w:spacing w:before="166" w:line="367" w:lineRule="auto"/>
              <w:ind w:right="153"/>
              <w:jc w:val="center"/>
              <w:rPr>
                <w:rFonts w:hint="eastAsia"/>
                <w:sz w:val="24"/>
                <w:szCs w:val="24"/>
                <w:lang w:eastAsia="zh-CN"/>
              </w:rPr>
            </w:pPr>
            <w:r>
              <w:rPr>
                <w:rFonts w:hint="eastAsia"/>
                <w:sz w:val="24"/>
                <w:szCs w:val="24"/>
                <w:lang w:eastAsia="zh-CN"/>
              </w:rPr>
              <w:t xml:space="preserve">     奖项级别</w:t>
            </w:r>
          </w:p>
          <w:p w14:paraId="540B14D1">
            <w:pPr>
              <w:pStyle w:val="2"/>
              <w:widowControl w:val="0"/>
              <w:spacing w:before="166" w:line="367" w:lineRule="auto"/>
              <w:ind w:right="153"/>
              <w:jc w:val="both"/>
              <w:rPr>
                <w:rFonts w:hint="eastAsia"/>
                <w:sz w:val="24"/>
                <w:szCs w:val="24"/>
                <w:lang w:eastAsia="zh-CN"/>
              </w:rPr>
            </w:pPr>
            <w:r>
              <w:rPr>
                <w:rFonts w:hint="eastAsia"/>
                <w:sz w:val="24"/>
                <w:szCs w:val="24"/>
                <w:lang w:eastAsia="zh-CN"/>
              </w:rPr>
              <w:t>赛事级别</w:t>
            </w:r>
          </w:p>
        </w:tc>
        <w:tc>
          <w:tcPr>
            <w:tcW w:w="2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A84AB">
            <w:pPr>
              <w:pStyle w:val="2"/>
              <w:widowControl w:val="0"/>
              <w:spacing w:before="166" w:line="367" w:lineRule="auto"/>
              <w:ind w:right="153"/>
              <w:jc w:val="center"/>
              <w:rPr>
                <w:rFonts w:hint="eastAsia"/>
                <w:sz w:val="24"/>
                <w:szCs w:val="24"/>
                <w:lang w:eastAsia="zh-CN"/>
              </w:rPr>
            </w:pPr>
            <w:r>
              <w:rPr>
                <w:rFonts w:hint="eastAsia"/>
                <w:sz w:val="24"/>
                <w:szCs w:val="24"/>
                <w:lang w:eastAsia="zh-CN"/>
              </w:rPr>
              <w:t>一等奖</w:t>
            </w:r>
          </w:p>
        </w:tc>
        <w:tc>
          <w:tcPr>
            <w:tcW w:w="2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07FCC">
            <w:pPr>
              <w:pStyle w:val="2"/>
              <w:widowControl w:val="0"/>
              <w:spacing w:before="166" w:line="367" w:lineRule="auto"/>
              <w:ind w:right="153"/>
              <w:jc w:val="center"/>
              <w:rPr>
                <w:rFonts w:hint="eastAsia"/>
                <w:sz w:val="24"/>
                <w:szCs w:val="24"/>
                <w:lang w:eastAsia="zh-CN"/>
              </w:rPr>
            </w:pPr>
            <w:r>
              <w:rPr>
                <w:rFonts w:hint="eastAsia"/>
                <w:sz w:val="24"/>
                <w:szCs w:val="24"/>
                <w:lang w:eastAsia="zh-CN"/>
              </w:rPr>
              <w:t>二等奖</w:t>
            </w:r>
          </w:p>
        </w:tc>
        <w:tc>
          <w:tcPr>
            <w:tcW w:w="2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36943">
            <w:pPr>
              <w:pStyle w:val="2"/>
              <w:widowControl w:val="0"/>
              <w:spacing w:before="166" w:line="367" w:lineRule="auto"/>
              <w:ind w:right="153"/>
              <w:jc w:val="center"/>
              <w:rPr>
                <w:rFonts w:hint="eastAsia"/>
                <w:sz w:val="24"/>
                <w:szCs w:val="24"/>
                <w:lang w:eastAsia="zh-CN"/>
              </w:rPr>
            </w:pPr>
            <w:r>
              <w:rPr>
                <w:rFonts w:hint="eastAsia"/>
                <w:sz w:val="24"/>
                <w:szCs w:val="24"/>
                <w:lang w:eastAsia="zh-CN"/>
              </w:rPr>
              <w:t>三等级</w:t>
            </w:r>
          </w:p>
        </w:tc>
      </w:tr>
      <w:tr w14:paraId="436A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C21AB">
            <w:pPr>
              <w:pStyle w:val="2"/>
              <w:widowControl w:val="0"/>
              <w:spacing w:before="166" w:line="367" w:lineRule="auto"/>
              <w:ind w:right="153"/>
              <w:jc w:val="center"/>
              <w:rPr>
                <w:rFonts w:hint="eastAsia"/>
                <w:sz w:val="24"/>
                <w:szCs w:val="24"/>
                <w:lang w:eastAsia="zh-CN"/>
              </w:rPr>
            </w:pPr>
            <w:r>
              <w:rPr>
                <w:rFonts w:hint="eastAsia"/>
                <w:sz w:val="24"/>
                <w:szCs w:val="24"/>
                <w:lang w:eastAsia="zh-CN"/>
              </w:rPr>
              <w:t>国家级</w:t>
            </w:r>
          </w:p>
        </w:tc>
        <w:tc>
          <w:tcPr>
            <w:tcW w:w="2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4485A">
            <w:pPr>
              <w:pStyle w:val="2"/>
              <w:widowControl w:val="0"/>
              <w:spacing w:before="166" w:line="367" w:lineRule="auto"/>
              <w:ind w:right="153"/>
              <w:jc w:val="center"/>
              <w:rPr>
                <w:rFonts w:hint="eastAsia"/>
                <w:sz w:val="24"/>
                <w:szCs w:val="24"/>
                <w:lang w:eastAsia="zh-CN"/>
              </w:rPr>
            </w:pPr>
            <w:r>
              <w:rPr>
                <w:rFonts w:hint="eastAsia"/>
                <w:sz w:val="24"/>
                <w:szCs w:val="24"/>
                <w:lang w:eastAsia="zh-CN"/>
              </w:rPr>
              <w:t>5分</w:t>
            </w:r>
          </w:p>
        </w:tc>
        <w:tc>
          <w:tcPr>
            <w:tcW w:w="2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89D7C">
            <w:pPr>
              <w:pStyle w:val="2"/>
              <w:widowControl w:val="0"/>
              <w:spacing w:before="166" w:line="367" w:lineRule="auto"/>
              <w:ind w:right="153"/>
              <w:jc w:val="center"/>
              <w:rPr>
                <w:rFonts w:hint="eastAsia"/>
                <w:sz w:val="24"/>
                <w:szCs w:val="24"/>
                <w:lang w:eastAsia="zh-CN"/>
              </w:rPr>
            </w:pPr>
            <w:r>
              <w:rPr>
                <w:rFonts w:hint="eastAsia"/>
                <w:sz w:val="24"/>
                <w:szCs w:val="24"/>
                <w:lang w:eastAsia="zh-CN"/>
              </w:rPr>
              <w:t>4.5分</w:t>
            </w:r>
          </w:p>
        </w:tc>
        <w:tc>
          <w:tcPr>
            <w:tcW w:w="2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E4A07">
            <w:pPr>
              <w:pStyle w:val="2"/>
              <w:widowControl w:val="0"/>
              <w:spacing w:before="166" w:line="367" w:lineRule="auto"/>
              <w:ind w:right="153"/>
              <w:jc w:val="center"/>
              <w:rPr>
                <w:rFonts w:hint="eastAsia"/>
                <w:sz w:val="24"/>
                <w:szCs w:val="24"/>
                <w:lang w:eastAsia="zh-CN"/>
              </w:rPr>
            </w:pPr>
            <w:r>
              <w:rPr>
                <w:rFonts w:hint="eastAsia"/>
                <w:sz w:val="24"/>
                <w:szCs w:val="24"/>
                <w:lang w:eastAsia="zh-CN"/>
              </w:rPr>
              <w:t>4分</w:t>
            </w:r>
          </w:p>
        </w:tc>
      </w:tr>
      <w:tr w14:paraId="683A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B202A">
            <w:pPr>
              <w:pStyle w:val="2"/>
              <w:widowControl w:val="0"/>
              <w:spacing w:before="166" w:line="367" w:lineRule="auto"/>
              <w:ind w:right="153"/>
              <w:jc w:val="center"/>
              <w:rPr>
                <w:rFonts w:hint="eastAsia"/>
                <w:sz w:val="24"/>
                <w:szCs w:val="24"/>
                <w:lang w:eastAsia="zh-CN"/>
              </w:rPr>
            </w:pPr>
            <w:r>
              <w:rPr>
                <w:rFonts w:hint="eastAsia"/>
                <w:sz w:val="24"/>
                <w:szCs w:val="24"/>
                <w:lang w:eastAsia="zh-CN"/>
              </w:rPr>
              <w:t>省部级</w:t>
            </w:r>
          </w:p>
        </w:tc>
        <w:tc>
          <w:tcPr>
            <w:tcW w:w="2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DEEAE">
            <w:pPr>
              <w:pStyle w:val="2"/>
              <w:widowControl w:val="0"/>
              <w:spacing w:before="166" w:line="367" w:lineRule="auto"/>
              <w:ind w:right="153"/>
              <w:jc w:val="center"/>
              <w:rPr>
                <w:rFonts w:hint="eastAsia"/>
                <w:sz w:val="24"/>
                <w:szCs w:val="24"/>
                <w:lang w:eastAsia="zh-CN"/>
              </w:rPr>
            </w:pPr>
            <w:r>
              <w:rPr>
                <w:rFonts w:hint="eastAsia"/>
                <w:sz w:val="24"/>
                <w:szCs w:val="24"/>
                <w:lang w:eastAsia="zh-CN"/>
              </w:rPr>
              <w:t>3分</w:t>
            </w:r>
          </w:p>
        </w:tc>
        <w:tc>
          <w:tcPr>
            <w:tcW w:w="2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A7A21">
            <w:pPr>
              <w:pStyle w:val="2"/>
              <w:widowControl w:val="0"/>
              <w:spacing w:before="166" w:line="367" w:lineRule="auto"/>
              <w:ind w:right="153"/>
              <w:jc w:val="center"/>
              <w:rPr>
                <w:rFonts w:hint="eastAsia"/>
                <w:sz w:val="24"/>
                <w:szCs w:val="24"/>
                <w:lang w:eastAsia="zh-CN"/>
              </w:rPr>
            </w:pPr>
            <w:r>
              <w:rPr>
                <w:rFonts w:hint="eastAsia"/>
                <w:sz w:val="24"/>
                <w:szCs w:val="24"/>
                <w:lang w:eastAsia="zh-CN"/>
              </w:rPr>
              <w:t>2.5分</w:t>
            </w:r>
          </w:p>
        </w:tc>
        <w:tc>
          <w:tcPr>
            <w:tcW w:w="2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C13A3">
            <w:pPr>
              <w:pStyle w:val="2"/>
              <w:widowControl w:val="0"/>
              <w:spacing w:before="166" w:line="367" w:lineRule="auto"/>
              <w:ind w:right="153"/>
              <w:jc w:val="center"/>
              <w:rPr>
                <w:rFonts w:hint="eastAsia"/>
                <w:sz w:val="24"/>
                <w:szCs w:val="24"/>
                <w:lang w:eastAsia="zh-CN"/>
              </w:rPr>
            </w:pPr>
            <w:r>
              <w:rPr>
                <w:rFonts w:hint="eastAsia"/>
                <w:sz w:val="24"/>
                <w:szCs w:val="24"/>
                <w:lang w:eastAsia="zh-CN"/>
              </w:rPr>
              <w:t>2分</w:t>
            </w:r>
          </w:p>
        </w:tc>
      </w:tr>
      <w:tr w14:paraId="19BC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13B33">
            <w:pPr>
              <w:pStyle w:val="2"/>
              <w:widowControl w:val="0"/>
              <w:spacing w:before="166" w:line="367" w:lineRule="auto"/>
              <w:ind w:right="153"/>
              <w:jc w:val="center"/>
              <w:rPr>
                <w:rFonts w:hint="eastAsia"/>
                <w:sz w:val="24"/>
                <w:szCs w:val="24"/>
                <w:lang w:eastAsia="zh-CN"/>
              </w:rPr>
            </w:pPr>
            <w:r>
              <w:rPr>
                <w:rFonts w:hint="eastAsia"/>
                <w:sz w:val="24"/>
                <w:szCs w:val="24"/>
                <w:lang w:eastAsia="zh-CN"/>
              </w:rPr>
              <w:t>校级</w:t>
            </w:r>
          </w:p>
        </w:tc>
        <w:tc>
          <w:tcPr>
            <w:tcW w:w="2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8D52A">
            <w:pPr>
              <w:pStyle w:val="2"/>
              <w:widowControl w:val="0"/>
              <w:spacing w:before="166" w:line="367" w:lineRule="auto"/>
              <w:ind w:right="153"/>
              <w:jc w:val="center"/>
              <w:rPr>
                <w:rFonts w:hint="eastAsia"/>
                <w:sz w:val="24"/>
                <w:szCs w:val="24"/>
                <w:lang w:eastAsia="zh-CN"/>
              </w:rPr>
            </w:pPr>
            <w:r>
              <w:rPr>
                <w:rFonts w:hint="eastAsia"/>
                <w:sz w:val="24"/>
                <w:szCs w:val="24"/>
                <w:lang w:eastAsia="zh-CN"/>
              </w:rPr>
              <w:t>2分</w:t>
            </w:r>
          </w:p>
        </w:tc>
        <w:tc>
          <w:tcPr>
            <w:tcW w:w="2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68A97">
            <w:pPr>
              <w:pStyle w:val="2"/>
              <w:widowControl w:val="0"/>
              <w:spacing w:before="166" w:line="367" w:lineRule="auto"/>
              <w:ind w:right="153"/>
              <w:jc w:val="center"/>
              <w:rPr>
                <w:rFonts w:hint="eastAsia"/>
                <w:sz w:val="24"/>
                <w:szCs w:val="24"/>
                <w:lang w:eastAsia="zh-CN"/>
              </w:rPr>
            </w:pPr>
            <w:r>
              <w:rPr>
                <w:rFonts w:hint="eastAsia"/>
                <w:sz w:val="24"/>
                <w:szCs w:val="24"/>
                <w:lang w:eastAsia="zh-CN"/>
              </w:rPr>
              <w:t>1.5分</w:t>
            </w:r>
          </w:p>
        </w:tc>
        <w:tc>
          <w:tcPr>
            <w:tcW w:w="2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FB6FE">
            <w:pPr>
              <w:pStyle w:val="2"/>
              <w:widowControl w:val="0"/>
              <w:spacing w:before="166" w:line="367" w:lineRule="auto"/>
              <w:ind w:right="153"/>
              <w:jc w:val="center"/>
              <w:rPr>
                <w:rFonts w:hint="eastAsia"/>
                <w:sz w:val="24"/>
                <w:szCs w:val="24"/>
                <w:lang w:eastAsia="zh-CN"/>
              </w:rPr>
            </w:pPr>
            <w:r>
              <w:rPr>
                <w:rFonts w:hint="eastAsia"/>
                <w:sz w:val="24"/>
                <w:szCs w:val="24"/>
                <w:lang w:eastAsia="zh-CN"/>
              </w:rPr>
              <w:t>1分</w:t>
            </w:r>
          </w:p>
        </w:tc>
      </w:tr>
      <w:tr w14:paraId="56F3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4EDFE">
            <w:pPr>
              <w:pStyle w:val="2"/>
              <w:widowControl w:val="0"/>
              <w:spacing w:before="166" w:line="367" w:lineRule="auto"/>
              <w:ind w:right="153"/>
              <w:jc w:val="center"/>
              <w:rPr>
                <w:rFonts w:hint="eastAsia"/>
                <w:sz w:val="24"/>
                <w:szCs w:val="24"/>
                <w:lang w:eastAsia="zh-CN"/>
              </w:rPr>
            </w:pPr>
            <w:r>
              <w:rPr>
                <w:rFonts w:hint="eastAsia"/>
                <w:sz w:val="24"/>
                <w:szCs w:val="24"/>
                <w:lang w:eastAsia="zh-CN"/>
              </w:rPr>
              <w:t>院级</w:t>
            </w:r>
          </w:p>
        </w:tc>
        <w:tc>
          <w:tcPr>
            <w:tcW w:w="2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B2608">
            <w:pPr>
              <w:pStyle w:val="2"/>
              <w:widowControl w:val="0"/>
              <w:spacing w:before="166" w:line="367" w:lineRule="auto"/>
              <w:ind w:right="153"/>
              <w:jc w:val="center"/>
              <w:rPr>
                <w:rFonts w:hint="eastAsia"/>
                <w:sz w:val="24"/>
                <w:szCs w:val="24"/>
                <w:lang w:eastAsia="zh-CN"/>
              </w:rPr>
            </w:pPr>
            <w:r>
              <w:rPr>
                <w:rFonts w:hint="eastAsia"/>
                <w:sz w:val="24"/>
                <w:szCs w:val="24"/>
                <w:lang w:eastAsia="zh-CN"/>
              </w:rPr>
              <w:t>1.5分</w:t>
            </w:r>
          </w:p>
        </w:tc>
        <w:tc>
          <w:tcPr>
            <w:tcW w:w="2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EC4F0">
            <w:pPr>
              <w:pStyle w:val="2"/>
              <w:widowControl w:val="0"/>
              <w:spacing w:before="166" w:line="367" w:lineRule="auto"/>
              <w:ind w:right="153"/>
              <w:jc w:val="center"/>
              <w:rPr>
                <w:rFonts w:hint="eastAsia"/>
                <w:sz w:val="24"/>
                <w:szCs w:val="24"/>
                <w:lang w:eastAsia="zh-CN"/>
              </w:rPr>
            </w:pPr>
            <w:r>
              <w:rPr>
                <w:rFonts w:hint="eastAsia"/>
                <w:sz w:val="24"/>
                <w:szCs w:val="24"/>
                <w:lang w:eastAsia="zh-CN"/>
              </w:rPr>
              <w:t>1分</w:t>
            </w:r>
          </w:p>
        </w:tc>
        <w:tc>
          <w:tcPr>
            <w:tcW w:w="2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628B1">
            <w:pPr>
              <w:pStyle w:val="2"/>
              <w:widowControl w:val="0"/>
              <w:spacing w:before="166" w:line="367" w:lineRule="auto"/>
              <w:ind w:right="153"/>
              <w:jc w:val="center"/>
              <w:rPr>
                <w:rFonts w:hint="eastAsia"/>
                <w:sz w:val="24"/>
                <w:szCs w:val="24"/>
                <w:lang w:eastAsia="zh-CN"/>
              </w:rPr>
            </w:pPr>
            <w:r>
              <w:rPr>
                <w:rFonts w:hint="eastAsia"/>
                <w:sz w:val="24"/>
                <w:szCs w:val="24"/>
                <w:lang w:eastAsia="zh-CN"/>
              </w:rPr>
              <w:t>0.5分</w:t>
            </w:r>
          </w:p>
        </w:tc>
      </w:tr>
    </w:tbl>
    <w:p w14:paraId="678A8E53">
      <w:pPr>
        <w:pStyle w:val="2"/>
        <w:spacing w:before="250" w:line="364" w:lineRule="auto"/>
        <w:ind w:right="102"/>
        <w:rPr>
          <w:rFonts w:hint="eastAsia"/>
          <w:spacing w:val="27"/>
        </w:rPr>
      </w:pPr>
    </w:p>
    <w:p w14:paraId="4982ED41">
      <w:pPr>
        <w:pStyle w:val="2"/>
        <w:spacing w:before="250" w:line="364" w:lineRule="auto"/>
        <w:ind w:left="33" w:right="102" w:firstLine="653"/>
        <w:rPr>
          <w:rFonts w:hint="eastAsia"/>
          <w:spacing w:val="8"/>
          <w:lang w:eastAsia="zh-CN"/>
        </w:rPr>
      </w:pPr>
      <w:r>
        <w:rPr>
          <w:rFonts w:hint="eastAsia"/>
          <w:spacing w:val="8"/>
          <w:lang w:eastAsia="zh-CN"/>
        </w:rPr>
        <w:t>与科技、学术有关的竞赛（比赛）可以申请加分，文体类竞赛不加分，严格按照加分细则执行加分，不区分竞赛的难易程度。各种个人荣誉称号参照各级别奖项一等奖加分，如学校三好学生加 2 分，三好积极分子加 1 分。学院通知过的、鼓励大家参加的活动按照当时的通知执行加分，总分 2 分封顶。</w:t>
      </w:r>
    </w:p>
    <w:p w14:paraId="3ED4AE0E">
      <w:pPr>
        <w:pStyle w:val="2"/>
        <w:spacing w:before="250" w:line="364" w:lineRule="auto"/>
        <w:ind w:left="33" w:right="102" w:firstLine="653"/>
        <w:rPr>
          <w:rFonts w:hint="eastAsia"/>
          <w:spacing w:val="27"/>
          <w:lang w:eastAsia="zh-CN"/>
        </w:rPr>
      </w:pPr>
      <w:r>
        <w:rPr>
          <w:rFonts w:hint="eastAsia"/>
          <w:spacing w:val="8"/>
          <w:lang w:eastAsia="zh-CN"/>
        </w:rPr>
        <w:t>（5）具体操作过程中，由辅导员酌情认定加分；辅导员操作有困难的，提交奖学金评审委员会讨论决定</w:t>
      </w:r>
      <w:r>
        <w:rPr>
          <w:spacing w:val="27"/>
          <w:lang w:eastAsia="zh-CN"/>
        </w:rPr>
        <w:t>。</w:t>
      </w:r>
    </w:p>
    <w:p w14:paraId="002627F5">
      <w:pPr>
        <w:pStyle w:val="2"/>
        <w:spacing w:before="250" w:line="364" w:lineRule="auto"/>
        <w:ind w:left="33" w:right="102" w:firstLine="653"/>
        <w:rPr>
          <w:rFonts w:hint="eastAsia"/>
          <w:spacing w:val="27"/>
          <w:lang w:eastAsia="zh-CN"/>
        </w:rPr>
      </w:pPr>
      <w:r>
        <w:rPr>
          <w:rFonts w:hint="eastAsia"/>
          <w:spacing w:val="8"/>
          <w:lang w:eastAsia="zh-CN"/>
        </w:rPr>
        <w:t>第四条 如学生在总评分审定过程中，存在弄虚作假、向老师讨分要分的情况，一经核实，取消参评资格</w:t>
      </w:r>
      <w:r>
        <w:rPr>
          <w:spacing w:val="27"/>
          <w:lang w:eastAsia="zh-CN"/>
        </w:rPr>
        <w:t>。</w:t>
      </w:r>
    </w:p>
    <w:p w14:paraId="52D77F73">
      <w:pPr>
        <w:pStyle w:val="2"/>
        <w:spacing w:before="250" w:line="364" w:lineRule="auto"/>
        <w:ind w:right="102"/>
        <w:jc w:val="center"/>
        <w:rPr>
          <w:rFonts w:hint="eastAsia"/>
          <w:spacing w:val="27"/>
          <w:lang w:eastAsia="zh-CN"/>
        </w:rPr>
      </w:pPr>
      <w:r>
        <w:rPr>
          <w:rFonts w:ascii="黑体" w:hAnsi="黑体" w:eastAsia="黑体" w:cs="黑体"/>
          <w:spacing w:val="26"/>
          <w:lang w:eastAsia="zh-CN"/>
        </w:rPr>
        <w:t>第</w:t>
      </w:r>
      <w:r>
        <w:rPr>
          <w:rFonts w:hint="eastAsia" w:ascii="黑体" w:hAnsi="黑体" w:eastAsia="黑体" w:cs="黑体"/>
          <w:spacing w:val="26"/>
          <w:lang w:eastAsia="zh-CN"/>
        </w:rPr>
        <w:t>二</w:t>
      </w:r>
      <w:r>
        <w:rPr>
          <w:rFonts w:ascii="黑体" w:hAnsi="黑体" w:eastAsia="黑体" w:cs="黑体"/>
          <w:spacing w:val="26"/>
          <w:lang w:eastAsia="zh-CN"/>
        </w:rPr>
        <w:t>章 研究</w:t>
      </w:r>
      <w:r>
        <w:rPr>
          <w:rFonts w:hint="eastAsia" w:ascii="黑体" w:hAnsi="黑体" w:eastAsia="黑体" w:cs="黑体"/>
          <w:spacing w:val="26"/>
          <w:lang w:eastAsia="zh-CN"/>
        </w:rPr>
        <w:t>生学业奖学金申请条件</w:t>
      </w:r>
    </w:p>
    <w:p w14:paraId="30414761">
      <w:pPr>
        <w:pStyle w:val="2"/>
        <w:spacing w:before="250" w:line="364" w:lineRule="auto"/>
        <w:ind w:left="33" w:right="102" w:firstLine="653"/>
        <w:jc w:val="both"/>
        <w:rPr>
          <w:rFonts w:hint="eastAsia"/>
          <w:spacing w:val="8"/>
          <w:lang w:eastAsia="zh-CN"/>
        </w:rPr>
      </w:pPr>
      <w:r>
        <w:rPr>
          <w:rFonts w:hint="eastAsia"/>
          <w:spacing w:val="8"/>
          <w:lang w:eastAsia="zh-CN"/>
        </w:rPr>
        <w:t>第五条 研究生学业奖学金包括一年级研究生奖学金、学业综合奖学金及其它专项奖。授予勤奋学习，努力掌握专业知识，有科研创新能力和社会实践能力的研究生。</w:t>
      </w:r>
    </w:p>
    <w:p w14:paraId="535C2BFA">
      <w:pPr>
        <w:pStyle w:val="2"/>
        <w:spacing w:before="250" w:line="364" w:lineRule="auto"/>
        <w:ind w:left="33" w:right="102" w:firstLine="653"/>
        <w:jc w:val="both"/>
        <w:rPr>
          <w:rFonts w:hint="eastAsia"/>
          <w:spacing w:val="8"/>
          <w:lang w:eastAsia="zh-CN"/>
        </w:rPr>
      </w:pPr>
      <w:r>
        <w:rPr>
          <w:rFonts w:hint="eastAsia"/>
          <w:spacing w:val="8"/>
          <w:lang w:eastAsia="zh-CN"/>
        </w:rPr>
        <w:t>1.一年级研究生奖学金</w:t>
      </w:r>
    </w:p>
    <w:p w14:paraId="12100A90">
      <w:pPr>
        <w:pStyle w:val="2"/>
        <w:spacing w:before="250" w:line="364" w:lineRule="auto"/>
        <w:ind w:left="33" w:right="102" w:firstLine="653"/>
        <w:jc w:val="both"/>
        <w:rPr>
          <w:rFonts w:hint="eastAsia"/>
          <w:spacing w:val="8"/>
          <w:lang w:eastAsia="zh-CN"/>
        </w:rPr>
      </w:pPr>
      <w:r>
        <w:rPr>
          <w:rFonts w:hint="eastAsia"/>
          <w:spacing w:val="8"/>
          <w:lang w:eastAsia="zh-CN"/>
        </w:rPr>
        <w:t>（1）一年级研究生奖学金专为一年级全日制非定向新生设立，根据考生背景和入学成绩进行综合评选。</w:t>
      </w:r>
    </w:p>
    <w:p w14:paraId="0C71E9A4">
      <w:pPr>
        <w:pStyle w:val="2"/>
        <w:spacing w:before="250" w:line="364" w:lineRule="auto"/>
        <w:ind w:left="33" w:right="102" w:firstLine="653"/>
        <w:jc w:val="both"/>
        <w:rPr>
          <w:rFonts w:hint="eastAsia"/>
          <w:spacing w:val="8"/>
          <w:lang w:eastAsia="zh-CN"/>
        </w:rPr>
      </w:pPr>
      <w:r>
        <w:rPr>
          <w:rFonts w:hint="eastAsia"/>
          <w:spacing w:val="8"/>
          <w:lang w:eastAsia="zh-CN"/>
        </w:rPr>
        <w:t>（2）一年级研究生奖学金各等级的人数由学校研究生 评奖评优工作领导小组根据当年招生情况以及学科建设 需要分配给招收研究生的学院或学科。</w:t>
      </w:r>
    </w:p>
    <w:p w14:paraId="091CFC51">
      <w:pPr>
        <w:pStyle w:val="2"/>
        <w:spacing w:before="250" w:line="364" w:lineRule="auto"/>
        <w:ind w:left="33" w:right="102" w:firstLine="653"/>
        <w:jc w:val="both"/>
        <w:rPr>
          <w:rFonts w:hint="eastAsia"/>
          <w:spacing w:val="8"/>
          <w:lang w:eastAsia="zh-CN"/>
        </w:rPr>
      </w:pPr>
      <w:r>
        <w:rPr>
          <w:rFonts w:hint="eastAsia"/>
          <w:spacing w:val="8"/>
          <w:lang w:eastAsia="zh-CN"/>
        </w:rPr>
        <w:t>2.学业综合奖学金</w:t>
      </w:r>
    </w:p>
    <w:p w14:paraId="38086AB2">
      <w:pPr>
        <w:pStyle w:val="2"/>
        <w:spacing w:before="250" w:line="364" w:lineRule="auto"/>
        <w:ind w:left="33" w:right="102" w:firstLine="653"/>
        <w:jc w:val="both"/>
        <w:rPr>
          <w:rFonts w:hint="eastAsia"/>
          <w:spacing w:val="8"/>
          <w:lang w:eastAsia="zh-CN"/>
        </w:rPr>
      </w:pPr>
      <w:r>
        <w:rPr>
          <w:rFonts w:hint="eastAsia"/>
          <w:spacing w:val="8"/>
          <w:lang w:eastAsia="zh-CN"/>
        </w:rPr>
        <w:t>学业综合奖学金为除新生以外研究生设立，以鼓励在校研究生勤奋学习，提高科研成果的质量；以学业及科研为导向，授予在校期间综合表现优异的研究生。</w:t>
      </w:r>
    </w:p>
    <w:p w14:paraId="35F1FC24">
      <w:pPr>
        <w:pStyle w:val="2"/>
        <w:spacing w:before="250" w:line="364" w:lineRule="auto"/>
        <w:ind w:left="33" w:right="102" w:firstLine="653"/>
        <w:jc w:val="both"/>
        <w:rPr>
          <w:rFonts w:hint="eastAsia"/>
          <w:spacing w:val="8"/>
          <w:lang w:eastAsia="zh-CN"/>
        </w:rPr>
      </w:pPr>
      <w:r>
        <w:rPr>
          <w:rFonts w:hint="eastAsia"/>
          <w:spacing w:val="8"/>
          <w:lang w:eastAsia="zh-CN"/>
        </w:rPr>
        <w:t>学业综合奖学金总评分计算方法参考适用本文件第一章规定。</w:t>
      </w:r>
    </w:p>
    <w:p w14:paraId="1F62C3E0">
      <w:pPr>
        <w:pStyle w:val="2"/>
        <w:spacing w:before="250" w:line="364" w:lineRule="auto"/>
        <w:ind w:left="33" w:right="102" w:firstLine="653"/>
        <w:jc w:val="both"/>
        <w:rPr>
          <w:rFonts w:hint="eastAsia"/>
          <w:spacing w:val="8"/>
          <w:lang w:eastAsia="zh-CN"/>
        </w:rPr>
      </w:pPr>
      <w:r>
        <w:rPr>
          <w:rFonts w:hint="eastAsia"/>
          <w:spacing w:val="8"/>
          <w:lang w:eastAsia="zh-CN"/>
        </w:rPr>
        <w:t>备注：每年根据财政实际拨款情况，学校可对研究生学业奖学金覆盖面、等级和奖励标准进行动态调整。</w:t>
      </w:r>
    </w:p>
    <w:p w14:paraId="2B013733">
      <w:pPr>
        <w:pStyle w:val="2"/>
        <w:spacing w:before="250" w:line="364" w:lineRule="auto"/>
        <w:ind w:left="33" w:right="102" w:firstLine="653"/>
        <w:jc w:val="both"/>
        <w:rPr>
          <w:rFonts w:hint="eastAsia"/>
          <w:spacing w:val="8"/>
          <w:lang w:eastAsia="zh-CN"/>
        </w:rPr>
      </w:pPr>
      <w:r>
        <w:rPr>
          <w:rFonts w:hint="eastAsia"/>
          <w:spacing w:val="8"/>
          <w:lang w:eastAsia="zh-CN"/>
        </w:rPr>
        <w:t>3.其它专项奖</w:t>
      </w:r>
    </w:p>
    <w:p w14:paraId="68AF7CA9">
      <w:pPr>
        <w:pStyle w:val="2"/>
        <w:spacing w:before="250" w:line="364" w:lineRule="auto"/>
        <w:ind w:left="33" w:right="102" w:firstLine="653"/>
        <w:jc w:val="both"/>
        <w:rPr>
          <w:rFonts w:hint="eastAsia"/>
          <w:spacing w:val="8"/>
          <w:lang w:eastAsia="zh-CN"/>
        </w:rPr>
      </w:pPr>
      <w:r>
        <w:rPr>
          <w:rFonts w:hint="eastAsia"/>
          <w:spacing w:val="8"/>
          <w:lang w:eastAsia="zh-CN"/>
        </w:rPr>
        <w:t>（1）推免生专项奖，专为推免生设立，在注册为硕士研究生之后予以奖励5000元/人；</w:t>
      </w:r>
    </w:p>
    <w:p w14:paraId="2F4E5722">
      <w:pPr>
        <w:pStyle w:val="2"/>
        <w:spacing w:before="250" w:line="364" w:lineRule="auto"/>
        <w:ind w:left="33" w:right="102" w:firstLine="653"/>
        <w:jc w:val="both"/>
        <w:rPr>
          <w:rFonts w:hint="eastAsia"/>
          <w:spacing w:val="8"/>
          <w:lang w:eastAsia="zh-CN"/>
        </w:rPr>
      </w:pPr>
      <w:r>
        <w:rPr>
          <w:rFonts w:hint="eastAsia"/>
          <w:spacing w:val="8"/>
          <w:lang w:eastAsia="zh-CN"/>
        </w:rPr>
        <w:t>（2）硕博连读专项奖，专为硕博连读研究生设立，在注册为博士研究生之后予以奖励10000元/人；</w:t>
      </w:r>
    </w:p>
    <w:p w14:paraId="6B7170DE">
      <w:pPr>
        <w:pStyle w:val="2"/>
        <w:spacing w:before="250" w:line="364" w:lineRule="auto"/>
        <w:ind w:left="33" w:right="102" w:firstLine="653"/>
        <w:jc w:val="both"/>
        <w:rPr>
          <w:rFonts w:hint="eastAsia"/>
          <w:spacing w:val="27"/>
          <w:lang w:eastAsia="zh-CN"/>
        </w:rPr>
      </w:pPr>
      <w:r>
        <w:rPr>
          <w:rFonts w:hint="eastAsia"/>
          <w:spacing w:val="8"/>
          <w:lang w:eastAsia="zh-CN"/>
        </w:rPr>
        <w:t>（3）优秀成果奖，专为科学研究成果显著的在校研究生设立，根据申报情况确定奖励额度。</w:t>
      </w:r>
    </w:p>
    <w:p w14:paraId="7A03D35B">
      <w:pPr>
        <w:pStyle w:val="2"/>
        <w:spacing w:before="161" w:line="224" w:lineRule="auto"/>
        <w:ind w:left="683"/>
        <w:jc w:val="center"/>
        <w:rPr>
          <w:rFonts w:hint="eastAsia" w:ascii="黑体" w:hAnsi="黑体" w:eastAsia="黑体" w:cs="黑体"/>
          <w:spacing w:val="26"/>
          <w:lang w:eastAsia="zh-CN"/>
        </w:rPr>
      </w:pPr>
      <w:r>
        <w:rPr>
          <w:rFonts w:ascii="黑体" w:hAnsi="黑体" w:eastAsia="黑体" w:cs="黑体"/>
          <w:spacing w:val="26"/>
          <w:lang w:eastAsia="zh-CN"/>
        </w:rPr>
        <w:t>第</w:t>
      </w:r>
      <w:r>
        <w:rPr>
          <w:rFonts w:hint="eastAsia" w:ascii="黑体" w:hAnsi="黑体" w:eastAsia="黑体" w:cs="黑体"/>
          <w:spacing w:val="26"/>
          <w:lang w:eastAsia="zh-CN"/>
        </w:rPr>
        <w:t>三章</w:t>
      </w:r>
      <w:r>
        <w:rPr>
          <w:rFonts w:ascii="黑体" w:hAnsi="黑体" w:eastAsia="黑体" w:cs="黑体"/>
          <w:spacing w:val="26"/>
          <w:lang w:eastAsia="zh-CN"/>
        </w:rPr>
        <w:t xml:space="preserve"> 研究生国家助学金</w:t>
      </w:r>
      <w:r>
        <w:rPr>
          <w:rFonts w:hint="eastAsia" w:ascii="黑体" w:hAnsi="黑体" w:eastAsia="黑体" w:cs="黑体"/>
          <w:spacing w:val="26"/>
          <w:lang w:eastAsia="zh-CN"/>
        </w:rPr>
        <w:t>申请条件</w:t>
      </w:r>
    </w:p>
    <w:p w14:paraId="7FD03AAC">
      <w:pPr>
        <w:pStyle w:val="2"/>
        <w:spacing w:before="250" w:line="364" w:lineRule="auto"/>
        <w:ind w:left="33" w:right="102" w:firstLine="653"/>
        <w:jc w:val="both"/>
        <w:rPr>
          <w:rFonts w:hint="eastAsia"/>
          <w:spacing w:val="27"/>
          <w:lang w:eastAsia="zh-CN"/>
        </w:rPr>
      </w:pPr>
      <w:r>
        <w:rPr>
          <w:rFonts w:hint="eastAsia"/>
          <w:spacing w:val="27"/>
          <w:lang w:eastAsia="zh-CN"/>
        </w:rPr>
        <w:t xml:space="preserve">第六条 </w:t>
      </w:r>
      <w:r>
        <w:rPr>
          <w:rFonts w:hint="eastAsia"/>
          <w:spacing w:val="8"/>
          <w:lang w:eastAsia="zh-CN"/>
        </w:rPr>
        <w:t>研究生国家助学金用于补助研究生基本生活支出，评审和发放应严格执行国家、地方及学校相关规定， 杜绝弄虚作假。</w:t>
      </w:r>
    </w:p>
    <w:p w14:paraId="7267D8FC">
      <w:pPr>
        <w:pStyle w:val="2"/>
        <w:spacing w:before="245" w:line="367" w:lineRule="auto"/>
        <w:ind w:left="34" w:right="272" w:firstLine="657"/>
        <w:jc w:val="both"/>
        <w:rPr>
          <w:rFonts w:hint="eastAsia"/>
          <w:spacing w:val="8"/>
          <w:lang w:eastAsia="zh-CN"/>
        </w:rPr>
      </w:pPr>
      <w:r>
        <w:rPr>
          <w:rFonts w:hint="eastAsia"/>
          <w:spacing w:val="27"/>
          <w:lang w:eastAsia="zh-CN"/>
        </w:rPr>
        <w:t xml:space="preserve">第七条 </w:t>
      </w:r>
      <w:r>
        <w:rPr>
          <w:rFonts w:hint="eastAsia"/>
          <w:spacing w:val="8"/>
          <w:lang w:eastAsia="zh-CN"/>
        </w:rPr>
        <w:t>完成报到注册手续，取得学籍的研究生方可申请。</w:t>
      </w:r>
    </w:p>
    <w:p w14:paraId="14FC292C">
      <w:pPr>
        <w:pStyle w:val="2"/>
        <w:spacing w:before="245" w:line="367" w:lineRule="auto"/>
        <w:ind w:left="34" w:right="272" w:firstLine="657"/>
        <w:jc w:val="both"/>
        <w:rPr>
          <w:rFonts w:hint="eastAsia"/>
          <w:spacing w:val="8"/>
          <w:lang w:eastAsia="zh-CN"/>
        </w:rPr>
      </w:pPr>
      <w:r>
        <w:rPr>
          <w:rFonts w:hint="eastAsia"/>
          <w:spacing w:val="8"/>
          <w:lang w:eastAsia="zh-CN"/>
        </w:rPr>
        <w:t>1.博士研究生国家助学金发放标准为每生每年15000元，硕士研究生国家助学金发放标准为每生每年6000元。</w:t>
      </w:r>
    </w:p>
    <w:p w14:paraId="28C42692">
      <w:pPr>
        <w:pStyle w:val="2"/>
        <w:spacing w:before="245" w:line="367" w:lineRule="auto"/>
        <w:ind w:left="34" w:right="272" w:firstLine="657"/>
        <w:jc w:val="both"/>
        <w:rPr>
          <w:rFonts w:hint="eastAsia"/>
          <w:spacing w:val="8"/>
          <w:lang w:eastAsia="zh-CN"/>
        </w:rPr>
      </w:pPr>
      <w:r>
        <w:rPr>
          <w:rFonts w:hint="eastAsia"/>
          <w:spacing w:val="8"/>
          <w:lang w:eastAsia="zh-CN"/>
        </w:rPr>
        <w:t>2.每学年按10个月计，按月发放，博士研究生每生每月1500元，硕士研究生每生每月600元。</w:t>
      </w:r>
    </w:p>
    <w:p w14:paraId="0808819D">
      <w:pPr>
        <w:pStyle w:val="2"/>
        <w:spacing w:before="245" w:line="367" w:lineRule="auto"/>
        <w:ind w:left="34" w:right="272" w:firstLine="657"/>
        <w:jc w:val="both"/>
        <w:rPr>
          <w:rFonts w:hint="eastAsia"/>
          <w:spacing w:val="8"/>
          <w:lang w:eastAsia="zh-CN"/>
        </w:rPr>
      </w:pPr>
      <w:r>
        <w:rPr>
          <w:rFonts w:hint="eastAsia"/>
          <w:spacing w:val="8"/>
          <w:lang w:eastAsia="zh-CN"/>
        </w:rPr>
        <w:t>3.</w:t>
      </w:r>
      <w:r>
        <w:rPr>
          <w:spacing w:val="8"/>
          <w:lang w:eastAsia="zh-CN"/>
        </w:rPr>
        <w:t>有下列情形之一的，停发助学金：</w:t>
      </w:r>
    </w:p>
    <w:p w14:paraId="49611DF4">
      <w:pPr>
        <w:pStyle w:val="2"/>
        <w:spacing w:before="245" w:line="367" w:lineRule="auto"/>
        <w:ind w:left="34" w:right="272" w:firstLine="657"/>
        <w:jc w:val="both"/>
        <w:rPr>
          <w:rFonts w:hint="eastAsia"/>
          <w:spacing w:val="8"/>
          <w:lang w:eastAsia="zh-CN"/>
        </w:rPr>
      </w:pPr>
      <w:r>
        <w:rPr>
          <w:rFonts w:hint="eastAsia"/>
          <w:spacing w:val="8"/>
          <w:lang w:eastAsia="zh-CN"/>
        </w:rPr>
        <w:t>（1）在课程学习期间未按规定程序请假而离校，时间超过一个月的研究生，离校期间停发助学金，返校后视情况决定是否继续发放；</w:t>
      </w:r>
    </w:p>
    <w:p w14:paraId="2DC70324">
      <w:pPr>
        <w:pStyle w:val="2"/>
        <w:spacing w:before="245" w:line="367" w:lineRule="auto"/>
        <w:ind w:left="34" w:right="272" w:firstLine="657"/>
        <w:jc w:val="both"/>
        <w:rPr>
          <w:rFonts w:hint="eastAsia"/>
          <w:spacing w:val="8"/>
          <w:lang w:eastAsia="zh-CN"/>
        </w:rPr>
      </w:pPr>
      <w:r>
        <w:rPr>
          <w:rFonts w:hint="eastAsia"/>
          <w:spacing w:val="8"/>
          <w:lang w:eastAsia="zh-CN"/>
        </w:rPr>
        <w:t>（2）已办理</w:t>
      </w:r>
      <w:r>
        <w:rPr>
          <w:spacing w:val="8"/>
          <w:lang w:eastAsia="zh-CN"/>
        </w:rPr>
        <w:t>休学或保留学籍手续的研究生，自休学或保留学籍次月停发助学金，复学后次月恢复发放；</w:t>
      </w:r>
    </w:p>
    <w:p w14:paraId="46D04C54">
      <w:pPr>
        <w:pStyle w:val="2"/>
        <w:spacing w:before="245" w:line="367" w:lineRule="auto"/>
        <w:ind w:left="34" w:right="272" w:firstLine="657"/>
        <w:jc w:val="both"/>
        <w:rPr>
          <w:rFonts w:hint="eastAsia"/>
          <w:spacing w:val="8"/>
          <w:lang w:eastAsia="zh-CN"/>
        </w:rPr>
      </w:pPr>
      <w:r>
        <w:rPr>
          <w:rFonts w:hint="eastAsia"/>
          <w:spacing w:val="8"/>
          <w:lang w:eastAsia="zh-CN"/>
        </w:rPr>
        <w:t>（3）</w:t>
      </w:r>
      <w:r>
        <w:rPr>
          <w:spacing w:val="8"/>
          <w:lang w:eastAsia="zh-CN"/>
        </w:rPr>
        <w:t>已办理退学手续的研究生，自退学手续办理完成的次月停发助学金；</w:t>
      </w:r>
    </w:p>
    <w:p w14:paraId="400CFA99">
      <w:pPr>
        <w:pStyle w:val="2"/>
        <w:spacing w:before="245" w:line="367" w:lineRule="auto"/>
        <w:ind w:left="34" w:right="272" w:firstLine="657"/>
        <w:jc w:val="both"/>
        <w:rPr>
          <w:rFonts w:hint="eastAsia"/>
          <w:spacing w:val="8"/>
          <w:lang w:eastAsia="zh-CN"/>
        </w:rPr>
      </w:pPr>
      <w:r>
        <w:rPr>
          <w:rFonts w:hint="eastAsia"/>
          <w:spacing w:val="8"/>
          <w:lang w:eastAsia="zh-CN"/>
        </w:rPr>
        <w:t>（4）</w:t>
      </w:r>
      <w:r>
        <w:rPr>
          <w:spacing w:val="8"/>
          <w:lang w:eastAsia="zh-CN"/>
        </w:rPr>
        <w:t>超过规定学制年限的延期毕业研究生</w:t>
      </w:r>
      <w:r>
        <w:rPr>
          <w:rFonts w:hint="eastAsia"/>
          <w:spacing w:val="8"/>
          <w:lang w:eastAsia="zh-CN"/>
        </w:rPr>
        <w:t>，</w:t>
      </w:r>
      <w:r>
        <w:rPr>
          <w:spacing w:val="8"/>
          <w:lang w:eastAsia="zh-CN"/>
        </w:rPr>
        <w:t>自标准学制截止月起停发助学金。</w:t>
      </w:r>
    </w:p>
    <w:p w14:paraId="4CF68F61">
      <w:pPr>
        <w:pStyle w:val="2"/>
        <w:spacing w:before="50" w:line="224" w:lineRule="auto"/>
        <w:ind w:left="659"/>
        <w:jc w:val="both"/>
        <w:rPr>
          <w:rFonts w:hint="eastAsia"/>
          <w:lang w:eastAsia="zh-CN"/>
        </w:rPr>
      </w:pPr>
      <w:r>
        <w:rPr>
          <w:rFonts w:hint="eastAsia"/>
          <w:spacing w:val="27"/>
          <w:lang w:eastAsia="zh-CN"/>
        </w:rPr>
        <w:t>第八条</w:t>
      </w:r>
      <w:r>
        <w:rPr>
          <w:spacing w:val="-75"/>
          <w:lang w:eastAsia="zh-CN"/>
        </w:rPr>
        <w:t xml:space="preserve"> </w:t>
      </w:r>
      <w:r>
        <w:rPr>
          <w:spacing w:val="13"/>
          <w:lang w:eastAsia="zh-CN"/>
        </w:rPr>
        <w:t>助学金的审核</w:t>
      </w:r>
    </w:p>
    <w:p w14:paraId="29E7673D">
      <w:pPr>
        <w:pStyle w:val="2"/>
        <w:spacing w:before="245" w:line="367" w:lineRule="auto"/>
        <w:ind w:left="34" w:right="272" w:firstLine="657"/>
        <w:jc w:val="both"/>
        <w:rPr>
          <w:rFonts w:hint="eastAsia"/>
          <w:spacing w:val="8"/>
          <w:lang w:eastAsia="zh-CN"/>
        </w:rPr>
      </w:pPr>
      <w:r>
        <w:rPr>
          <w:spacing w:val="8"/>
          <w:lang w:eastAsia="zh-CN"/>
        </w:rPr>
        <w:t>学院每月负责审查并制作本学院研究生国家助学金 发放汇总表，并将相关材料报送财务处及研究生院审核，审核通过后由财务处按相关程序办理发放事宜。</w:t>
      </w:r>
    </w:p>
    <w:p w14:paraId="2D705153">
      <w:pPr>
        <w:spacing w:before="101" w:line="224" w:lineRule="auto"/>
        <w:ind w:left="1730"/>
        <w:rPr>
          <w:rFonts w:hint="eastAsia" w:ascii="黑体" w:hAnsi="黑体" w:eastAsia="黑体" w:cs="黑体"/>
          <w:sz w:val="31"/>
          <w:szCs w:val="31"/>
          <w:lang w:eastAsia="zh-CN"/>
        </w:rPr>
      </w:pPr>
      <w:r>
        <w:rPr>
          <w:rFonts w:ascii="黑体" w:hAnsi="黑体" w:eastAsia="黑体" w:cs="黑体"/>
          <w:spacing w:val="24"/>
          <w:sz w:val="31"/>
          <w:szCs w:val="31"/>
          <w:lang w:eastAsia="zh-CN"/>
        </w:rPr>
        <w:t>第</w:t>
      </w:r>
      <w:r>
        <w:rPr>
          <w:rFonts w:hint="eastAsia" w:ascii="黑体" w:hAnsi="黑体" w:eastAsia="黑体" w:cs="黑体"/>
          <w:spacing w:val="24"/>
          <w:sz w:val="31"/>
          <w:szCs w:val="31"/>
          <w:lang w:eastAsia="zh-CN"/>
        </w:rPr>
        <w:t>四</w:t>
      </w:r>
      <w:r>
        <w:rPr>
          <w:rFonts w:ascii="黑体" w:hAnsi="黑体" w:eastAsia="黑体" w:cs="黑体"/>
          <w:spacing w:val="24"/>
          <w:sz w:val="31"/>
          <w:szCs w:val="31"/>
          <w:lang w:eastAsia="zh-CN"/>
        </w:rPr>
        <w:t>章 研究生奖助学金评审程序</w:t>
      </w:r>
    </w:p>
    <w:p w14:paraId="48EC9F8A">
      <w:pPr>
        <w:pStyle w:val="2"/>
        <w:spacing w:before="245" w:line="367" w:lineRule="auto"/>
        <w:ind w:left="34" w:right="272" w:firstLine="657"/>
        <w:jc w:val="both"/>
        <w:rPr>
          <w:rFonts w:hint="eastAsia"/>
          <w:spacing w:val="8"/>
          <w:lang w:eastAsia="zh-CN"/>
        </w:rPr>
      </w:pPr>
      <w:r>
        <w:rPr>
          <w:spacing w:val="4"/>
          <w:lang w:eastAsia="zh-CN"/>
        </w:rPr>
        <w:t xml:space="preserve">第九条 </w:t>
      </w:r>
      <w:r>
        <w:rPr>
          <w:spacing w:val="8"/>
          <w:lang w:eastAsia="zh-CN"/>
        </w:rPr>
        <w:t>每年6月启动研究生科研材料预评审工作，学 生根据学院通知提交相应材料。申报学生的科研材料面向所属院系全体学生提前公示，院系对申请人的科研材料进行初步审核。学院研究生国家奖学金评审委</w:t>
      </w:r>
      <w:r>
        <w:rPr>
          <w:rFonts w:hint="eastAsia"/>
          <w:spacing w:val="8"/>
          <w:lang w:eastAsia="zh-CN"/>
        </w:rPr>
        <w:t>员会</w:t>
      </w:r>
      <w:r>
        <w:rPr>
          <w:spacing w:val="8"/>
          <w:lang w:eastAsia="zh-CN"/>
        </w:rPr>
        <w:t>针对审核结果商议适当增减科研分的计算规则标准，以该版本为学院最终国家奖学金科研分认定标准。</w:t>
      </w:r>
    </w:p>
    <w:p w14:paraId="38B1486D">
      <w:pPr>
        <w:pStyle w:val="2"/>
        <w:spacing w:before="54" w:line="362" w:lineRule="auto"/>
        <w:ind w:left="41" w:right="149" w:firstLine="616"/>
        <w:rPr>
          <w:rFonts w:hint="eastAsia"/>
          <w:spacing w:val="8"/>
          <w:lang w:eastAsia="zh-CN"/>
        </w:rPr>
      </w:pPr>
      <w:r>
        <w:rPr>
          <w:spacing w:val="5"/>
          <w:lang w:eastAsia="zh-CN"/>
        </w:rPr>
        <w:t>第十条</w:t>
      </w:r>
      <w:r>
        <w:rPr>
          <w:spacing w:val="51"/>
          <w:lang w:eastAsia="zh-CN"/>
        </w:rPr>
        <w:t xml:space="preserve"> </w:t>
      </w:r>
      <w:r>
        <w:rPr>
          <w:spacing w:val="8"/>
          <w:lang w:eastAsia="zh-CN"/>
        </w:rPr>
        <w:t>学院研究生评奖评优评审小组于每年9月开展  研究生奖助学金申报、初步评定和公示工作。学院确定推荐获奖学生名单后，应在学院进行不少于5个工作日的公示。公示无异议后，提交学校研究生评奖评优工作领导小组审核，审核结果在全校范围内进行不少于5个工作日的公示。</w:t>
      </w:r>
    </w:p>
    <w:p w14:paraId="04344888">
      <w:pPr>
        <w:pStyle w:val="2"/>
        <w:spacing w:before="54" w:line="362" w:lineRule="auto"/>
        <w:ind w:left="41" w:right="149" w:firstLine="616"/>
        <w:rPr>
          <w:rFonts w:hint="eastAsia"/>
          <w:spacing w:val="8"/>
          <w:lang w:eastAsia="zh-CN"/>
        </w:rPr>
      </w:pPr>
      <w:r>
        <w:rPr>
          <w:spacing w:val="8"/>
          <w:lang w:eastAsia="zh-CN"/>
        </w:rPr>
        <w:t>研究生院根据学校批准的研究生奖学金获奖名单制作获奖证书，财务处根据学校批准的获奖名单办理相应发放手</w:t>
      </w:r>
      <w:r>
        <w:rPr>
          <w:rFonts w:hint="eastAsia"/>
          <w:spacing w:val="8"/>
          <w:lang w:eastAsia="zh-CN"/>
        </w:rPr>
        <w:t>续</w:t>
      </w:r>
      <w:r>
        <w:rPr>
          <w:spacing w:val="8"/>
          <w:lang w:eastAsia="zh-CN"/>
        </w:rPr>
        <w:t xml:space="preserve">。 </w:t>
      </w:r>
    </w:p>
    <w:p w14:paraId="64CF2F18">
      <w:pPr>
        <w:pStyle w:val="2"/>
        <w:spacing w:before="54" w:line="362" w:lineRule="auto"/>
        <w:ind w:left="41" w:right="149" w:firstLine="616"/>
        <w:rPr>
          <w:rFonts w:hint="eastAsia"/>
          <w:lang w:eastAsia="zh-CN"/>
        </w:rPr>
      </w:pPr>
      <w:r>
        <w:rPr>
          <w:spacing w:val="-5"/>
          <w:lang w:eastAsia="zh-CN"/>
        </w:rPr>
        <w:t xml:space="preserve">第十一条 </w:t>
      </w:r>
      <w:r>
        <w:rPr>
          <w:spacing w:val="8"/>
          <w:lang w:eastAsia="zh-CN"/>
        </w:rPr>
        <w:t>其它各类专项奖具体评审办法以当年文件为准</w:t>
      </w:r>
      <w:r>
        <w:rPr>
          <w:spacing w:val="-5"/>
          <w:lang w:eastAsia="zh-CN"/>
        </w:rPr>
        <w:t>。</w:t>
      </w:r>
    </w:p>
    <w:p w14:paraId="7B4E9391">
      <w:pPr>
        <w:pStyle w:val="2"/>
        <w:spacing w:before="245" w:line="367" w:lineRule="auto"/>
        <w:ind w:left="34" w:right="272" w:firstLine="657"/>
        <w:jc w:val="both"/>
        <w:rPr>
          <w:rFonts w:hint="eastAsia"/>
          <w:spacing w:val="8"/>
          <w:lang w:eastAsia="zh-CN"/>
        </w:rPr>
      </w:pPr>
      <w:r>
        <w:rPr>
          <w:spacing w:val="13"/>
          <w:lang w:eastAsia="zh-CN"/>
        </w:rPr>
        <w:t xml:space="preserve">第十二条 </w:t>
      </w:r>
      <w:r>
        <w:rPr>
          <w:spacing w:val="8"/>
          <w:lang w:eastAsia="zh-CN"/>
        </w:rPr>
        <w:t>研究生奖助学金的异议处理。如对研究生奖助学金评审结果有异议，可在学院公示阶段向所在学院研究生评奖评优评审小组提出申诉，学院应及时研究并予以答复。</w:t>
      </w:r>
    </w:p>
    <w:p w14:paraId="10801871">
      <w:pPr>
        <w:pStyle w:val="2"/>
        <w:spacing w:before="245" w:line="367" w:lineRule="auto"/>
        <w:ind w:left="34" w:right="272" w:firstLine="657"/>
        <w:jc w:val="both"/>
        <w:rPr>
          <w:rFonts w:hint="eastAsia"/>
          <w:spacing w:val="8"/>
          <w:lang w:eastAsia="zh-CN"/>
        </w:rPr>
      </w:pPr>
      <w:r>
        <w:rPr>
          <w:rFonts w:hint="eastAsia"/>
          <w:spacing w:val="8"/>
          <w:lang w:eastAsia="zh-CN"/>
        </w:rPr>
        <w:t xml:space="preserve">第十三条 </w:t>
      </w:r>
      <w:r>
        <w:rPr>
          <w:spacing w:val="8"/>
          <w:lang w:eastAsia="zh-CN"/>
        </w:rPr>
        <w:t>如申诉人对学院做出的答复仍存在异议，可在学校公示阶段向学校研究生评奖评优工作领导小组提请裁决。</w:t>
      </w:r>
    </w:p>
    <w:p w14:paraId="1D3656C8">
      <w:pPr>
        <w:spacing w:before="101" w:line="224" w:lineRule="auto"/>
        <w:ind w:left="3205"/>
        <w:rPr>
          <w:rFonts w:hint="eastAsia" w:ascii="黑体" w:hAnsi="黑体" w:eastAsia="黑体" w:cs="黑体"/>
          <w:sz w:val="31"/>
          <w:szCs w:val="31"/>
          <w:lang w:eastAsia="zh-CN"/>
        </w:rPr>
      </w:pPr>
      <w:r>
        <w:rPr>
          <w:rFonts w:ascii="黑体" w:hAnsi="黑体" w:eastAsia="黑体" w:cs="黑体"/>
          <w:spacing w:val="12"/>
          <w:sz w:val="31"/>
          <w:szCs w:val="31"/>
          <w:lang w:eastAsia="zh-CN"/>
        </w:rPr>
        <w:t>第</w:t>
      </w:r>
      <w:r>
        <w:rPr>
          <w:rFonts w:hint="eastAsia" w:ascii="黑体" w:hAnsi="黑体" w:eastAsia="黑体" w:cs="黑体"/>
          <w:spacing w:val="12"/>
          <w:sz w:val="31"/>
          <w:szCs w:val="31"/>
          <w:lang w:eastAsia="zh-CN"/>
        </w:rPr>
        <w:t>五</w:t>
      </w:r>
      <w:r>
        <w:rPr>
          <w:rFonts w:ascii="黑体" w:hAnsi="黑体" w:eastAsia="黑体" w:cs="黑体"/>
          <w:spacing w:val="12"/>
          <w:sz w:val="31"/>
          <w:szCs w:val="31"/>
          <w:lang w:eastAsia="zh-CN"/>
        </w:rPr>
        <w:t>章</w:t>
      </w:r>
      <w:r>
        <w:rPr>
          <w:rFonts w:ascii="黑体" w:hAnsi="黑体" w:eastAsia="黑体" w:cs="黑体"/>
          <w:spacing w:val="153"/>
          <w:sz w:val="31"/>
          <w:szCs w:val="31"/>
          <w:lang w:eastAsia="zh-CN"/>
        </w:rPr>
        <w:t xml:space="preserve"> </w:t>
      </w:r>
      <w:r>
        <w:rPr>
          <w:rFonts w:ascii="黑体" w:hAnsi="黑体" w:eastAsia="黑体" w:cs="黑体"/>
          <w:spacing w:val="12"/>
          <w:sz w:val="31"/>
          <w:szCs w:val="31"/>
          <w:lang w:eastAsia="zh-CN"/>
        </w:rPr>
        <w:t>附则</w:t>
      </w:r>
    </w:p>
    <w:p w14:paraId="48AC052E">
      <w:pPr>
        <w:pStyle w:val="2"/>
        <w:spacing w:before="245" w:line="367" w:lineRule="auto"/>
        <w:ind w:left="34" w:right="272" w:firstLine="657"/>
        <w:jc w:val="both"/>
        <w:rPr>
          <w:rFonts w:hint="eastAsia"/>
          <w:spacing w:val="8"/>
          <w:lang w:eastAsia="zh-CN"/>
        </w:rPr>
      </w:pPr>
      <w:r>
        <w:rPr>
          <w:spacing w:val="14"/>
          <w:lang w:eastAsia="zh-CN"/>
        </w:rPr>
        <w:t xml:space="preserve">第十四条 </w:t>
      </w:r>
      <w:r>
        <w:rPr>
          <w:spacing w:val="8"/>
          <w:lang w:eastAsia="zh-CN"/>
        </w:rPr>
        <w:t>相关管理工作人员和研究生导师在研究生奖助学金评定过程中，应坚持公正、公平、公开、择优的原则，严格执行国家、上海市有关规定，杜绝弄虚作假。违反公平原则和职责要求造成不良影响的，依据学校有关规定严肃查处。</w:t>
      </w:r>
    </w:p>
    <w:p w14:paraId="0A4F9D57">
      <w:pPr>
        <w:pStyle w:val="2"/>
        <w:spacing w:before="245" w:line="367" w:lineRule="auto"/>
        <w:ind w:left="34" w:right="272" w:firstLine="657"/>
        <w:jc w:val="both"/>
        <w:rPr>
          <w:rFonts w:hint="eastAsia"/>
          <w:spacing w:val="8"/>
          <w:lang w:eastAsia="zh-CN"/>
        </w:rPr>
      </w:pPr>
      <w:r>
        <w:rPr>
          <w:spacing w:val="8"/>
          <w:lang w:eastAsia="zh-CN"/>
        </w:rPr>
        <w:t>第十五条 本办法由法学院负责解释，自公布之日起 实施。</w:t>
      </w:r>
    </w:p>
    <w:sectPr>
      <w:footerReference r:id="rId3" w:type="default"/>
      <w:pgSz w:w="11907" w:h="16839"/>
      <w:pgMar w:top="1431" w:right="1727" w:bottom="1491" w:left="1785" w:header="0" w:footer="121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13691">
    <w:pPr>
      <w:pStyle w:val="2"/>
      <w:spacing w:before="1" w:line="172" w:lineRule="auto"/>
      <w:ind w:left="4056"/>
      <w:rPr>
        <w:rFonts w:hint="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4D0B8B">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14D0B8B">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rsids>
    <w:rsidRoot w:val="00E21F87"/>
    <w:rsid w:val="00101DFB"/>
    <w:rsid w:val="00460F49"/>
    <w:rsid w:val="006341F2"/>
    <w:rsid w:val="009666D6"/>
    <w:rsid w:val="00BF66A9"/>
    <w:rsid w:val="00E21F87"/>
    <w:rsid w:val="00E73BD4"/>
    <w:rsid w:val="062A4F87"/>
    <w:rsid w:val="07751F43"/>
    <w:rsid w:val="0EFD148A"/>
    <w:rsid w:val="115A0E16"/>
    <w:rsid w:val="11F87021"/>
    <w:rsid w:val="1B2F50C2"/>
    <w:rsid w:val="22CF3276"/>
    <w:rsid w:val="291B7580"/>
    <w:rsid w:val="30A405FB"/>
    <w:rsid w:val="320C18F2"/>
    <w:rsid w:val="34C5299C"/>
    <w:rsid w:val="3E6835BD"/>
    <w:rsid w:val="44C10289"/>
    <w:rsid w:val="4B2B7304"/>
    <w:rsid w:val="4CFF4044"/>
    <w:rsid w:val="57F624E8"/>
    <w:rsid w:val="57FB7AFE"/>
    <w:rsid w:val="5EAB3A82"/>
    <w:rsid w:val="60695F4D"/>
    <w:rsid w:val="62BE1E54"/>
    <w:rsid w:val="638A0A51"/>
    <w:rsid w:val="65D9007A"/>
    <w:rsid w:val="668C667C"/>
    <w:rsid w:val="671F46B1"/>
    <w:rsid w:val="73C36379"/>
    <w:rsid w:val="75E8797A"/>
    <w:rsid w:val="77E83A45"/>
    <w:rsid w:val="7CBA5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r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1537</Words>
  <Characters>1581</Characters>
  <Lines>26</Lines>
  <Paragraphs>7</Paragraphs>
  <TotalTime>11</TotalTime>
  <ScaleCrop>false</ScaleCrop>
  <LinksUpToDate>false</LinksUpToDate>
  <CharactersWithSpaces>1664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2024-06-07T10:42:00Z</dcterms:created>
  <dc:creator>楚鸭鸭</dc:creator>
  <cp:lastModifiedBy>Nomoney</cp:lastModifiedBy>
  <dcterms:modified xsi:type="dcterms:W3CDTF">2025-09-12T08:29:07Z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2024-12-01T12:37:33Z</vt:filetime>
  </property>
  <property fmtid="{D5CDD505-2E9C-101B-9397-08002B2CF9AE}" pid="4" name="KSOProductBuildVer">
    <vt:lpwstr>2052-12.1.0.22529</vt:lpwstr>
  </property>
  <property fmtid="{D5CDD505-2E9C-101B-9397-08002B2CF9AE}" pid="5" name="ICV">
    <vt:lpwstr>8BA4EDF1643E4668979F4090F0231DE3_13</vt:lpwstr>
  </property>
  <property fmtid="{D5CDD505-2E9C-101B-9397-08002B2CF9AE}" pid="6" name="KSOTemplateDocerSaveRecord">
    <vt:lpwstr>eyJoZGlkIjoiMzEwNTM5NzYwMDRjMzkwZTVkZjY2ODkwMGIxNGU0OTUiLCJ1c2VySWQiOiI5NDM0NTM4NjUifQ==</vt:lpwstr>
  </property>
</Properties>
</file>